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064"/>
        <w:gridCol w:w="2160"/>
      </w:tblGrid>
      <w:tr>
        <w:tc>
          <w:tcPr>
            <w:tcW w:type="dxa" w:w="5285"/>
            <w:shd w:fill="0E1B3D"/>
            <w:tcMar>
              <w:top w:w="80" w:type="dxa"/>
              <w:start w:w="140" w:type="dxa"/>
              <w:bottom w:w="80" w:type="dxa"/>
              <w:end w:w="140" w:type="dxa"/>
            </w:tcMar>
          </w:tcPr>
          <w:p>
            <w:r>
              <w:rPr>
                <w:rFonts w:ascii="Aptos Display" w:hAnsi="Aptos Display"/>
                <w:b/>
                <w:color w:val="FFFFFF"/>
                <w:sz w:val="44"/>
              </w:rPr>
              <w:t xml:space="preserve">ESPORTS </w:t>
            </w:r>
            <w:r>
              <w:rPr>
                <w:rFonts w:ascii="Aptos Display" w:hAnsi="Aptos Display"/>
                <w:b/>
                <w:color w:val="C9D5FF"/>
                <w:sz w:val="44"/>
              </w:rPr>
              <w:t>INSIGHT</w:t>
            </w:r>
          </w:p>
        </w:tc>
        <w:tc>
          <w:tcPr>
            <w:tcW w:type="dxa" w:w="5285"/>
            <w:shd w:fill="5B2A86"/>
            <w:tcMar>
              <w:top w:w="80" w:type="dxa"/>
              <w:start w:w="100" w:type="dxa"/>
              <w:bottom w:w="80" w:type="dxa"/>
              <w:end w:w="100" w:type="dxa"/>
            </w:tcMar>
          </w:tcPr>
          <w:p>
            <w:pPr>
              <w:jc w:val="center"/>
            </w:pPr>
            <w:r>
              <w:rPr>
                <w:b/>
                <w:color w:val="FFFFFF"/>
                <w:sz w:val="18"/>
              </w:rPr>
              <w:t>FEATURE 01 / PLAYERS</w:t>
            </w:r>
          </w:p>
        </w:tc>
      </w:tr>
    </w:tbl>
    <w:p>
      <w:pPr>
        <w:spacing w:after="0"/>
      </w:pPr>
    </w:p>
    <w:p>
      <w:pPr>
        <w:pStyle w:val="Kicker"/>
      </w:pPr>
      <w:r>
        <w:t>PLAYERS &amp; TEAMWORK</w:t>
      </w:r>
    </w:p>
    <w:p>
      <w:pPr>
        <w:pStyle w:val="Title"/>
        <w:spacing w:after="100"/>
      </w:pPr>
      <w:r>
        <w:t>Inside the Scrim Room</w:t>
      </w:r>
    </w:p>
    <w:p>
      <w:pPr>
        <w:spacing w:after="160"/>
      </w:pPr>
      <w:r>
        <w:rPr>
          <w:i/>
          <w:color w:val="4B5563"/>
          <w:sz w:val="23"/>
        </w:rPr>
        <w:t>The loudest esports moments happen on stage. The most important learning often happens long before anyone is watching.</w:t>
      </w:r>
    </w:p>
    <w:p>
      <w:pPr>
        <w:spacing w:after="200"/>
        <w:pBdr>
          <w:bottom w:val="single" w:sz="16" w:space="1" w:color="5B2A86"/>
        </w:pBdr>
      </w:pPr>
      <w:r>
        <w:rPr>
          <w:b/>
          <w:color w:val="5B2A86"/>
          <w:sz w:val="19"/>
        </w:rPr>
        <w:t>By Maya Reed</w:t>
      </w:r>
    </w:p>
    <w:tbl>
      <w:tblPr>
        <w:tblW w:type="auto" w:w="0"/>
        <w:jc w:val="center"/>
        <w:tblLayout w:type="fixed"/>
        <w:tblLook w:firstColumn="1" w:firstRow="1" w:lastColumn="0" w:lastRow="0" w:noHBand="0" w:noVBand="1" w:val="04A0"/>
      </w:tblPr>
      <w:tblGrid>
        <w:gridCol w:w="4925"/>
        <w:gridCol w:w="4925"/>
      </w:tblGrid>
      <w:tr>
        <w:tc>
          <w:tcPr>
            <w:tcW w:type="dxa" w:w="5285"/>
            <w:tcMar>
              <w:top w:w="0" w:type="dxa"/>
              <w:start w:w="0" w:type="dxa"/>
              <w:bottom w:w="0" w:type="dxa"/>
              <w:end w:w="100" w:type="dxa"/>
            </w:tcMar>
            <w:tcBorders>
              <w:top w:val="nil"/>
              <w:left w:val="nil"/>
              <w:bottom w:val="nil"/>
              <w:right w:val="nil"/>
              <w:insideH w:val="nil"/>
              <w:insideV w:val="nil"/>
            </w:tcBorders>
          </w:tcPr>
          <w:p>
            <w:pPr>
              <w:spacing w:after="100" w:line="245" w:lineRule="auto"/>
              <w:ind w:firstLine="0"/>
            </w:pPr>
            <w:r>
              <w:rPr>
                <w:sz w:val="17"/>
              </w:rPr>
              <w:t>To a new viewer, competitive gaming can look like a blur of movement, bright effects and fast reactions. Yet inside a practice room, the pace is often slower and more deliberate. A team might spend twenty minutes discussing a single failed round. Players replay the moment, compare what each person saw and decide whether the problem came from timing, positioning or communication. This organised practice match is usually called a scrim, and it is one of the main places where a team turns individual talent into shared understanding.</w:t>
            </w:r>
          </w:p>
          <w:p>
            <w:pPr>
              <w:spacing w:after="100" w:line="245" w:lineRule="auto"/>
              <w:ind w:firstLine="187"/>
            </w:pPr>
            <w:r>
              <w:rPr>
                <w:sz w:val="17"/>
              </w:rPr>
              <w:t>During a scrim, players use short, precise comms because there is rarely time for a long explanation while the game is moving. A player might call an opponent’s location, warn that an ability has been used or suggest a rotation to another part of the map. The best communication is not simply loud. It is useful, calm and timed so that teammates can still hear other information. One player may act as the IGL, or in-game leader, helping the team make a decision when several options are possible.</w:t>
            </w:r>
          </w:p>
          <w:p>
            <w:pPr>
              <w:spacing w:after="100" w:line="245" w:lineRule="auto"/>
              <w:ind w:firstLine="187"/>
            </w:pPr>
            <w:r>
              <w:rPr>
                <w:sz w:val="17"/>
              </w:rPr>
              <w:t>Fans often admire spectacular mechanical skill, but experienced supporters also notice teamwork that is easy to miss. A well-timed rotation can prevent a dangerous fight. A player who gives up a strong position to support a teammate may never appear in a highlight clip, yet the decision can win the round. This is one reason commentators frequently talk about “discipline” or “game sense”: they are describing choices that show a player understands the wider situation rather than chasing attention.</w:t>
            </w:r>
          </w:p>
          <w:p>
            <w:pPr>
              <w:spacing w:before="100" w:after="120"/>
              <w:jc w:val="center"/>
            </w:pPr>
            <w:r>
              <w:rPr>
                <w:rFonts w:ascii="Aptos Display" w:hAnsi="Aptos Display"/>
                <w:b/>
                <w:i/>
                <w:color w:val="5B2A86"/>
                <w:sz w:val="25"/>
              </w:rPr>
              <w:t>“The best teams do not communicate the most. They communicate the most useful information at the right time.”</w:t>
            </w:r>
          </w:p>
        </w:tc>
        <w:tc>
          <w:tcPr>
            <w:tcW w:type="dxa" w:w="5285"/>
            <w:tcMar>
              <w:top w:w="0" w:type="dxa"/>
              <w:start w:w="0" w:type="dxa"/>
              <w:bottom w:w="0" w:type="dxa"/>
              <w:end w:w="0" w:type="dxa"/>
            </w:tcMar>
            <w:tcBorders>
              <w:top w:val="nil"/>
              <w:left w:val="nil"/>
              <w:bottom w:val="nil"/>
              <w:right w:val="nil"/>
              <w:insideH w:val="nil"/>
              <w:insideV w:val="nil"/>
            </w:tcBorders>
          </w:tcPr>
          <w:p>
            <w:pPr>
              <w:spacing w:after="100" w:line="245" w:lineRule="auto"/>
              <w:ind w:firstLine="0"/>
            </w:pPr>
            <w:r>
              <w:rPr>
                <w:sz w:val="17"/>
              </w:rPr>
              <w:t>After practice, many teams hold a VOD review. VOD simply means a recording of the game. Coaches and players pause the footage, ask what information was available and look for patterns. Sometimes the problem is technical: a player aimed poorly or reacted too slowly. More often, however, the review uncovers a team habit. Perhaps two players repeatedly check the same area while another space is ignored, or perhaps the team becomes too aggressive after winning an early fight.</w:t>
            </w:r>
          </w:p>
          <w:p>
            <w:pPr>
              <w:spacing w:after="100" w:line="245" w:lineRule="auto"/>
              <w:ind w:firstLine="187"/>
            </w:pPr>
            <w:r>
              <w:rPr>
                <w:sz w:val="17"/>
              </w:rPr>
              <w:t>A strong review is not supposed to become a blame session. Coaches often ask players to describe what they believed was happening at the time. That matters because a decision that looks foolish on replay may have been reasonable with limited information. Productive teams learn to separate the mistake from the person. Instead of saying “you threw the round”, they might say “our spacing was too wide” or “we reacted late to the call”. The language shifts from accusation to problem-solving.</w:t>
            </w:r>
          </w:p>
          <w:p>
            <w:pPr>
              <w:spacing w:after="100" w:line="245" w:lineRule="auto"/>
              <w:ind w:firstLine="187"/>
            </w:pPr>
            <w:r>
              <w:rPr>
                <w:sz w:val="17"/>
              </w:rPr>
              <w:t>Pressure changes communication too. In a clutch situation, where one player is left trying to win against difficult odds, teammates may become silent so the remaining player can focus. When the round ends, the conversation starts again. Fans watching a broadcast hear only part of this world, but player microphones, interviews and documentaries have made audiences more interested in the human side of performance: confidence, trust, resilience and the ability to recover after mistakes.</w:t>
            </w:r>
          </w:p>
          <w:p>
            <w:pPr>
              <w:spacing w:after="100" w:line="245" w:lineRule="auto"/>
              <w:ind w:firstLine="187"/>
            </w:pPr>
            <w:r>
              <w:rPr>
                <w:sz w:val="17"/>
              </w:rPr>
              <w:t>For players, improvement therefore means more than increasing speed. It means noticing patterns, accepting feedback and learning how teammates think. For fans, that hidden work can make matches more meaningful. Once you understand the preparation behind a coordinated play, the moment stops looking accidental. It becomes evidence of hours of conversation, repetition and trust.</w:t>
            </w:r>
          </w:p>
        </w:tc>
      </w:tr>
    </w:tbl>
    <w:p>
      <w:pPr>
        <w:spacing w:before="100" w:after="0"/>
        <w:jc w:val="center"/>
      </w:pPr>
      <w:r>
        <w:rPr>
          <w:b/>
          <w:color w:val="5B2A86"/>
          <w:sz w:val="15"/>
        </w:rPr>
        <w:t>ESPORTS INSIGHT • ORIGINAL CLASSROOM FEATURE</w:t>
      </w:r>
    </w:p>
    <w:p>
      <w:r>
        <w:br w:type="page"/>
      </w:r>
    </w:p>
    <w:p>
      <w:pPr>
        <w:pStyle w:val="Heading1"/>
      </w:pPr>
      <w:r>
        <w:t>READ • NOTICE • EXPLAIN</w:t>
      </w:r>
    </w:p>
    <w:p>
      <w:r>
        <w:rPr>
          <w:i/>
          <w:color w:val="4B5563"/>
        </w:rPr>
        <w:t>Use the article as evidence. You are not expected to know esports already.</w:t>
      </w:r>
    </w:p>
    <w:tbl>
      <w:tblPr>
        <w:tblW w:type="auto" w:w="0"/>
        <w:jc w:val="center"/>
        <w:tblLayout w:type="fixed"/>
        <w:tblLook w:firstColumn="1" w:firstRow="1" w:lastColumn="0" w:lastRow="0" w:noHBand="0" w:noVBand="1" w:val="04A0"/>
      </w:tblPr>
      <w:tblGrid>
        <w:gridCol w:w="864"/>
        <w:gridCol w:w="9144"/>
      </w:tblGrid>
      <w:tr>
        <w:tc>
          <w:tcPr>
            <w:tcW w:type="dxa" w:w="5285"/>
            <w:shd w:fill="5B2A86"/>
            <w:tcMar>
              <w:top w:w="120" w:type="dxa"/>
              <w:start w:w="70" w:type="dxa"/>
              <w:bottom w:w="120" w:type="dxa"/>
              <w:end w:w="70" w:type="dxa"/>
            </w:tcMar>
            <w:vAlign w:val="center"/>
          </w:tcPr>
          <w:p>
            <w:pPr>
              <w:jc w:val="center"/>
            </w:pPr>
            <w:r>
              <w:rPr>
                <w:b/>
                <w:color w:val="FFFFFF"/>
                <w:sz w:val="30"/>
              </w:rPr>
              <w:t>1</w:t>
            </w:r>
          </w:p>
        </w:tc>
        <w:tc>
          <w:tcPr>
            <w:tcW w:type="dxa" w:w="5285"/>
            <w:shd w:fill="F2EDF8"/>
            <w:tcMar>
              <w:top w:w="120" w:type="dxa"/>
              <w:start w:w="140" w:type="dxa"/>
              <w:bottom w:w="120" w:type="dxa"/>
              <w:end w:w="140" w:type="dxa"/>
            </w:tcMar>
          </w:tcPr>
          <w:p>
            <w:pPr>
              <w:spacing w:after="0"/>
            </w:pPr>
            <w:r>
              <w:t>What does the article tell you about esports players? Write 3–5 points. For each one, copy or paraphrase a detail from the text that supports your idea.</w:t>
            </w:r>
          </w:p>
        </w:tc>
      </w:tr>
      <w:tr>
        <w:tc>
          <w:tcPr>
            <w:tcW w:type="dxa" w:w="5285"/>
            <w:shd w:fill="5B2A86"/>
            <w:tcMar>
              <w:top w:w="120" w:type="dxa"/>
              <w:start w:w="70" w:type="dxa"/>
              <w:bottom w:w="120" w:type="dxa"/>
              <w:end w:w="70" w:type="dxa"/>
            </w:tcMar>
            <w:vAlign w:val="center"/>
          </w:tcPr>
          <w:p>
            <w:pPr>
              <w:jc w:val="center"/>
            </w:pPr>
            <w:r>
              <w:rPr>
                <w:b/>
                <w:color w:val="FFFFFF"/>
                <w:sz w:val="30"/>
              </w:rPr>
              <w:t>2</w:t>
            </w:r>
          </w:p>
        </w:tc>
        <w:tc>
          <w:tcPr>
            <w:tcW w:type="dxa" w:w="5285"/>
            <w:shd w:fill="F2EDF8"/>
            <w:tcMar>
              <w:top w:w="120" w:type="dxa"/>
              <w:start w:w="140" w:type="dxa"/>
              <w:bottom w:w="120" w:type="dxa"/>
              <w:end w:w="140" w:type="dxa"/>
            </w:tcMar>
          </w:tcPr>
          <w:p>
            <w:pPr>
              <w:spacing w:after="0"/>
            </w:pPr>
            <w:r>
              <w:t>What does the article tell you about esports fans or audiences? Identify attitudes, behaviours, expectations or reasons for watching. Support each point with evidence.</w:t>
            </w:r>
          </w:p>
        </w:tc>
      </w:tr>
      <w:tr>
        <w:tc>
          <w:tcPr>
            <w:tcW w:type="dxa" w:w="5285"/>
            <w:shd w:fill="5B2A86"/>
            <w:tcMar>
              <w:top w:w="120" w:type="dxa"/>
              <w:start w:w="70" w:type="dxa"/>
              <w:bottom w:w="120" w:type="dxa"/>
              <w:end w:w="70" w:type="dxa"/>
            </w:tcMar>
            <w:vAlign w:val="center"/>
          </w:tcPr>
          <w:p>
            <w:pPr>
              <w:jc w:val="center"/>
            </w:pPr>
            <w:r>
              <w:rPr>
                <w:b/>
                <w:color w:val="FFFFFF"/>
                <w:sz w:val="30"/>
              </w:rPr>
              <w:t>3</w:t>
            </w:r>
          </w:p>
        </w:tc>
        <w:tc>
          <w:tcPr>
            <w:tcW w:type="dxa" w:w="5285"/>
            <w:shd w:fill="F2EDF8"/>
            <w:tcMar>
              <w:top w:w="120" w:type="dxa"/>
              <w:start w:w="140" w:type="dxa"/>
              <w:bottom w:w="120" w:type="dxa"/>
              <w:end w:w="140" w:type="dxa"/>
            </w:tcMar>
          </w:tcPr>
          <w:p>
            <w:pPr>
              <w:spacing w:after="0"/>
            </w:pPr>
            <w:r>
              <w:t>Build a useful glossary. Start with the terms listed below, then add at least three more words or phrases from the article. Define each term in your own words and, where helpful, give an example.</w:t>
            </w:r>
          </w:p>
        </w:tc>
      </w:tr>
      <w:tr>
        <w:tc>
          <w:tcPr>
            <w:tcW w:type="dxa" w:w="5285"/>
            <w:shd w:fill="5B2A86"/>
            <w:tcMar>
              <w:top w:w="120" w:type="dxa"/>
              <w:start w:w="70" w:type="dxa"/>
              <w:bottom w:w="120" w:type="dxa"/>
              <w:end w:w="70" w:type="dxa"/>
            </w:tcMar>
            <w:vAlign w:val="center"/>
          </w:tcPr>
          <w:p>
            <w:pPr>
              <w:jc w:val="center"/>
            </w:pPr>
            <w:r>
              <w:rPr>
                <w:b/>
                <w:color w:val="FFFFFF"/>
                <w:sz w:val="30"/>
              </w:rPr>
              <w:t>4</w:t>
            </w:r>
          </w:p>
        </w:tc>
        <w:tc>
          <w:tcPr>
            <w:tcW w:type="dxa" w:w="5285"/>
            <w:shd w:fill="F2EDF8"/>
            <w:tcMar>
              <w:top w:w="120" w:type="dxa"/>
              <w:start w:w="140" w:type="dxa"/>
              <w:bottom w:w="120" w:type="dxa"/>
              <w:end w:w="140" w:type="dxa"/>
            </w:tcMar>
          </w:tcPr>
          <w:p>
            <w:pPr>
              <w:spacing w:after="0"/>
            </w:pPr>
            <w:r>
              <w:t>Write a 120–180 word explanation for someone who is completely new to esports. Explain the key idea from this article clearly, avoid unexplained jargon, and use at least four glossary terms accurately.</w:t>
            </w:r>
          </w:p>
        </w:tc>
      </w:tr>
    </w:tbl>
    <w:p/>
    <w:p>
      <w:r>
        <w:rPr>
          <w:b/>
          <w:color w:val="5B2A86"/>
        </w:rPr>
        <w:t xml:space="preserve">Glossary starter: </w:t>
      </w:r>
      <w:r>
        <w:t>scrim, comms, IGL, rotation, mechanical skill, game sense, VOD review, clutch.</w:t>
      </w:r>
    </w:p>
    <w:p>
      <w:r>
        <w:rPr>
          <w:b/>
        </w:rPr>
        <w:t xml:space="preserve">Challenge: </w:t>
      </w:r>
      <w:r>
        <w:t>Which single sentence from the article would be most useful to a newcomer, and why?</w:t>
      </w:r>
    </w:p>
    <w:p>
      <w:pPr>
        <w:spacing w:before="200"/>
      </w:pPr>
      <w:r>
        <w:rPr>
          <w:b/>
          <w:color w:val="5B2A86"/>
        </w:rPr>
        <w:t>TEACHER NOTE</w:t>
      </w:r>
    </w:p>
    <w:p>
      <w:r>
        <w:t>The article is an original classroom text written in a magazine style. Names, teams and events are fictional unless described generically. This keeps the focus on language, inference and explanation rather than prior esports knowledge.</w:t>
      </w:r>
    </w:p>
    <w:sectPr w:rsidR="00FC693F" w:rsidRPr="0006063C" w:rsidSect="00034616">
      <w:footerReference w:type="default" r:id="rId9"/>
      <w:pgSz w:w="12240" w:h="15840"/>
      <w:pgMar w:top="691" w:right="835" w:bottom="720"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color w:val="0E1B3D"/>
        <w:sz w:val="16"/>
      </w:rPr>
      <w:t xml:space="preserve">ESPORTS INSIGHT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5B2A8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E1B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E1B3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60"/>
    </w:pPr>
    <w:rPr>
      <w:rFonts w:ascii="Aptos" w:hAnsi="Aptos"/>
      <w:b/>
      <w:color w:val="5B2A8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