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Two opinions, one question</w:t>
      </w:r>
    </w:p>
    <w:p>
      <w:pPr>
        <w:spacing w:after="260"/>
      </w:pPr>
      <w:r>
        <w:rPr>
          <w:color w:val="657586"/>
          <w:sz w:val="20"/>
        </w:rPr>
        <w:t>SOURCE BOOKLET  |  Original classroom articles  |  Use a highlighter or pencil</w:t>
      </w:r>
    </w:p>
    <w:tbl>
      <w:tblPr>
        <w:tblW w:type="auto" w:w="0"/>
        <w:tblLook w:firstColumn="1" w:firstRow="1" w:lastColumn="0" w:lastRow="0" w:noHBand="0" w:noVBand="1" w:val="04A0"/>
      </w:tblPr>
      <w:tblGrid>
        <w:gridCol w:w="10166"/>
      </w:tblGrid>
      <w:tr>
        <w:tc>
          <w:tcPr>
            <w:tcW w:type="dxa" w:w="10166"/>
            <w:shd w:fill="EDF5F6"/>
            <w:tcMar>
              <w:top w:w="130" w:type="dxa"/>
              <w:left w:w="130" w:type="dxa"/>
              <w:bottom w:w="130" w:type="dxa"/>
              <w:right w:w="130" w:type="dxa"/>
            </w:tcMar>
            <w:tcBorders>
              <w:top w:val="single" w:sz="5" w:color="D6E1E8"/>
              <w:left w:val="single" w:sz="5" w:color="D6E1E8"/>
              <w:bottom w:val="single" w:sz="5" w:color="D6E1E8"/>
              <w:right w:val="single" w:sz="5" w:color="D6E1E8"/>
            </w:tcBorders>
          </w:tcPr>
          <w:p>
            <w:pPr>
              <w:spacing w:after="0"/>
            </w:pPr>
            <w:r>
              <w:rPr>
                <w:b/>
              </w:rPr>
              <w:t xml:space="preserve">Source status  </w:t>
            </w:r>
            <w:r>
              <w:t>These two articles were created for teaching and first provided in Week 5. The writers are fictional classroom bylines; their claims are open to analysis, not verified journalism. Their paragraphs are reproduced unchanged here.</w:t>
            </w:r>
          </w:p>
        </w:tc>
      </w:tr>
    </w:tbl>
    <w:p>
      <w:pPr>
        <w:spacing w:after="0"/>
      </w:pPr>
    </w:p>
    <w:p>
      <w:pPr>
        <w:pStyle w:val="Heading2"/>
      </w:pPr>
      <w:r>
        <w:t>How to annotate</w:t>
      </w:r>
    </w:p>
    <w:p>
      <w:r>
        <w:t>BOX main viewpoint  •  UNDERLINE reasons or examples  •  CIRCLE persuasive language  •  ? unsupported assumption  •  ★ concession or qualification</w:t>
      </w:r>
    </w:p>
    <w:p>
      <w:pPr>
        <w:pStyle w:val="Heading1"/>
      </w:pPr>
      <w:r>
        <w:t>SOURCE A  •  The case for recognition</w:t>
      </w:r>
    </w:p>
    <w:p>
      <w:pPr>
        <w:spacing w:after="120"/>
      </w:pPr>
      <w:r>
        <w:rPr>
          <w:color w:val="657586"/>
          <w:sz w:val="18"/>
        </w:rPr>
        <w:t>A. Karim  |  Opinion  |  Argues organised esports can count as sport</w:t>
      </w:r>
    </w:p>
    <w:p>
      <w:pPr>
        <w:spacing w:after="80" w:line="254" w:lineRule="auto"/>
      </w:pPr>
      <w:r>
        <w:rPr>
          <w:b/>
          <w:sz w:val="18"/>
        </w:rPr>
        <w:t xml:space="preserve">A1   </w:t>
      </w:r>
      <w:r>
        <w:rPr>
          <w:sz w:val="18"/>
        </w:rPr>
        <w:t>When people argue that esports cannot be a sport, they often start with a picture: an athlete is running across a field, while a player is sitting in front of a screen. The picture is familiar, but it answers the wrong question. A meaningful competition should be judged by the quality of its preparation, rules and performance, not by how closely its competitors resemble a poster for a running club.</w:t>
      </w:r>
    </w:p>
    <w:p>
      <w:pPr>
        <w:spacing w:after="80" w:line="254" w:lineRule="auto"/>
      </w:pPr>
      <w:r>
        <w:rPr>
          <w:b/>
          <w:sz w:val="18"/>
        </w:rPr>
        <w:t xml:space="preserve">A2   </w:t>
      </w:r>
      <w:r>
        <w:rPr>
          <w:sz w:val="18"/>
        </w:rPr>
        <w:t>Consider what a serious esports team actually has to do. Players study opponents, practise tactics, communicate under pressure and repeat difficult decisions until the timing becomes reliable. A successful move can depend on several people acting together while an audience watches every error. Physical stamina may play a different role from the one it plays in a marathon, but reflexes, coordination and controlled movement still matter. The skill is specialised, not imaginary.</w:t>
      </w:r>
    </w:p>
    <w:p>
      <w:pPr>
        <w:spacing w:after="80" w:line="254" w:lineRule="auto"/>
      </w:pPr>
      <w:r>
        <w:rPr>
          <w:b/>
          <w:sz w:val="18"/>
        </w:rPr>
        <w:t xml:space="preserve">A3   </w:t>
      </w:r>
      <w:r>
        <w:rPr>
          <w:sz w:val="18"/>
        </w:rPr>
        <w:t>The word sport already covers activities with very different demands. We do not require every competitor to move in the same way or use the same equipment. Some activities value sustained endurance; others reward accuracy, timing, spatial judgement and collaboration. If those differences can coexist, dismissing competitive gaming simply because screens are involved seems inconsistent. The screen is equipment, not proof that no challenge exists.</w:t>
      </w:r>
    </w:p>
    <w:p>
      <w:pPr>
        <w:spacing w:after="80" w:line="254" w:lineRule="auto"/>
      </w:pPr>
      <w:r>
        <w:rPr>
          <w:b/>
          <w:sz w:val="18"/>
        </w:rPr>
        <w:t xml:space="preserve">A4   </w:t>
      </w:r>
      <w:r>
        <w:rPr>
          <w:sz w:val="18"/>
        </w:rPr>
        <w:t>That does not mean every online game automatically becomes sport. A casual evening with friends is not a tournament, just as a kickabout is not a professional match. Competition needs transparent rules, fair officiating, meaningful preparation and a structure that rewards ability rather than spending. Tournament organisers must also protect younger participants, explain accessibility arrangements and deal fairly with cheating or harassment. Those standards should be strengthened, not avoided by refusing the label.</w:t>
      </w:r>
    </w:p>
    <w:p>
      <w:pPr>
        <w:spacing w:after="80" w:line="254" w:lineRule="auto"/>
      </w:pPr>
      <w:r>
        <w:rPr>
          <w:b/>
          <w:sz w:val="18"/>
        </w:rPr>
        <w:t xml:space="preserve">A5   </w:t>
      </w:r>
      <w:r>
        <w:rPr>
          <w:sz w:val="18"/>
        </w:rPr>
        <w:t>Recognition matters because language shapes opportunity. If colleges, community venues and families treat esports as organised competition, they may become more willing to recognise communication, resilience, analysis and teamwork developed through participation. Those benefits should not be overstated: an individual who games for hours is not automatically building all those skills. But a well-run team can set goals, evaluate mistakes and create the accountability familiar in other competitive settings.</w:t>
      </w:r>
    </w:p>
    <w:p>
      <w:pPr>
        <w:spacing w:after="80" w:line="254" w:lineRule="auto"/>
      </w:pPr>
      <w:r>
        <w:rPr>
          <w:b/>
          <w:sz w:val="18"/>
        </w:rPr>
        <w:t xml:space="preserve">A6   </w:t>
      </w:r>
      <w:r>
        <w:rPr>
          <w:sz w:val="18"/>
        </w:rPr>
        <w:t>I would call organised esports a sport when its rules, training and fair competition deserve the description. Rather than asking whether a mouse resembles a football, ask whether competitors can demonstrate skill, preparation and integrity. That is a more useful test—and it places a responsibility on esports to earn the respect it wants.</w:t>
      </w:r>
    </w:p>
    <w:p>
      <w:r>
        <w:br w:type="page"/>
      </w:r>
    </w:p>
    <w:p>
      <w:pPr>
        <w:pStyle w:val="Heading1"/>
      </w:pPr>
      <w:r>
        <w:t>SOURCE B  •  Respect without the label</w:t>
      </w:r>
    </w:p>
    <w:p>
      <w:pPr>
        <w:spacing w:after="120"/>
      </w:pPr>
      <w:r>
        <w:rPr>
          <w:color w:val="657586"/>
          <w:sz w:val="18"/>
        </w:rPr>
        <w:t>J. Morgan  |  Opinion  |  Argues esports deserves respect without the same classification</w:t>
      </w:r>
    </w:p>
    <w:p>
      <w:pPr>
        <w:spacing w:after="80" w:line="254" w:lineRule="auto"/>
      </w:pPr>
      <w:r>
        <w:rPr>
          <w:b/>
          <w:sz w:val="18"/>
        </w:rPr>
        <w:t xml:space="preserve">B1   </w:t>
      </w:r>
      <w:r>
        <w:rPr>
          <w:sz w:val="18"/>
        </w:rPr>
        <w:t>Every season someone proposes that esports should sit alongside traditional sport without any distinction. The suggestion is understandable: major competitive games produce tension, teamwork and dedicated fans. Yet admiration for a contest does not settle how we classify it. Words help us describe different experiences. Stretch the definition of sport too widely and we risk losing a useful distinction between physical activity and a competition conducted through software.</w:t>
      </w:r>
    </w:p>
    <w:p>
      <w:pPr>
        <w:spacing w:after="80" w:line="254" w:lineRule="auto"/>
      </w:pPr>
      <w:r>
        <w:rPr>
          <w:b/>
          <w:sz w:val="18"/>
        </w:rPr>
        <w:t xml:space="preserve">B2   </w:t>
      </w:r>
      <w:r>
        <w:rPr>
          <w:sz w:val="18"/>
        </w:rPr>
        <w:t>An esports final can require exceptional concentration and fine control. Nobody should dismiss the practice involved or the pressure felt by young competitors. Nevertheless, that does not make all demanding contests versions of the same thing. A musician may practise for thousands of hours; a chess player may prepare obsessively; a pilot may make high-stakes decisions. These achievements deserve respect without needing to become sport. The argument for classification must explain why the label matters, not just why participants are talented.</w:t>
      </w:r>
    </w:p>
    <w:p>
      <w:pPr>
        <w:spacing w:after="80" w:line="254" w:lineRule="auto"/>
      </w:pPr>
      <w:r>
        <w:rPr>
          <w:b/>
          <w:sz w:val="18"/>
        </w:rPr>
        <w:t xml:space="preserve">B3   </w:t>
      </w:r>
      <w:r>
        <w:rPr>
          <w:sz w:val="18"/>
        </w:rPr>
        <w:t>There are practical complications too. A football club does not have to depend on a private company continuing to license the basic rules of football. By contrast, an esports title may be updated, withdrawn or changed by its publisher, sometimes for reasons unrelated to fair competition. An effective competition must therefore respond to software changes, access to equipment, age ratings, accessibility and commercial influence. These differences are central to how the activity is organised, not minor details to ignore.</w:t>
      </w:r>
    </w:p>
    <w:p>
      <w:pPr>
        <w:spacing w:after="80" w:line="254" w:lineRule="auto"/>
      </w:pPr>
      <w:r>
        <w:rPr>
          <w:b/>
          <w:sz w:val="18"/>
        </w:rPr>
        <w:t xml:space="preserve">B4   </w:t>
      </w:r>
      <w:r>
        <w:rPr>
          <w:sz w:val="18"/>
        </w:rPr>
        <w:t>The physical-health argument is often exaggerated on both sides. Playing sport does not automatically make every participant healthy, while gaming does not automatically mean inactivity. Teams can encourage breaks, exercise and safe practice. Even so, if an institution uses one category for organised physical activity and another for digital competition, that does not necessarily insult anyone. Different categories can make it easier to set suitable support, safeguarding and funding priorities.</w:t>
      </w:r>
    </w:p>
    <w:p>
      <w:pPr>
        <w:spacing w:after="80" w:line="254" w:lineRule="auto"/>
      </w:pPr>
      <w:r>
        <w:rPr>
          <w:b/>
          <w:sz w:val="18"/>
        </w:rPr>
        <w:t xml:space="preserve">B5   </w:t>
      </w:r>
      <w:r>
        <w:rPr>
          <w:sz w:val="18"/>
        </w:rPr>
        <w:t>I worry most about the pressure to seek validation from an older tradition. Esports can describe its own achievements directly: technical mastery, rapid cooperation, tactical imagination and the ability to perform in front of an audience. The industry is also young enough to develop stronger rules against exploitative contracts, harassment and unfair access. Those goals do not depend on winning a vocabulary contest. Respect can be earned by responsible practice rather than by borrowing a title.</w:t>
      </w:r>
    </w:p>
    <w:p>
      <w:pPr>
        <w:spacing w:after="80" w:line="254" w:lineRule="auto"/>
      </w:pPr>
      <w:r>
        <w:rPr>
          <w:b/>
          <w:sz w:val="18"/>
        </w:rPr>
        <w:t xml:space="preserve">B6   </w:t>
      </w:r>
      <w:r>
        <w:rPr>
          <w:sz w:val="18"/>
        </w:rPr>
        <w:t>Celebrate esports as competitive gaming. Invest in accessible events and recognise the skills involved. But allow the word sport to keep its clearer association with organised physical competition. Esports does not have to be somebody else's category to be worth taking seriously.</w:t>
      </w:r>
    </w:p>
    <w:p>
      <w:pPr>
        <w:pStyle w:val="Heading2"/>
      </w:pPr>
      <w:r>
        <w:t>Glossary to help with close reading</w:t>
      </w:r>
    </w:p>
    <w:tbl>
      <w:tblPr>
        <w:tblStyle w:val="TableGrid"/>
        <w:tblW w:type="auto" w:w="0"/>
        <w:jc w:val="center"/>
        <w:tblLayout w:type="fixed"/>
        <w:tblLook w:firstColumn="1" w:firstRow="1" w:lastColumn="0" w:lastRow="0" w:noHBand="0" w:noVBand="1" w:val="04A0"/>
      </w:tblPr>
      <w:tblGrid>
        <w:gridCol w:w="1828800"/>
        <w:gridCol w:w="4572000"/>
      </w:tblGrid>
      <w:tr>
        <w:trPr>
          <w:tblHeader/>
        </w:trPr>
        <w:tc>
          <w:tcPr>
            <w:tcW w:type="dxa" w:w="2880"/>
            <w:shd w:fill="17324D"/>
            <w:tcMar>
              <w:top w:w="90" w:type="dxa"/>
              <w:left w:w="90" w:type="dxa"/>
              <w:bottom w:w="90" w:type="dxa"/>
              <w:right w:w="90" w:type="dxa"/>
            </w:tcMar>
          </w:tcPr>
          <w:p>
            <w:r>
              <w:rPr>
                <w:b/>
                <w:color w:val="FFFFFF"/>
                <w:sz w:val="18"/>
              </w:rPr>
              <w:t>Word or phrase</w:t>
            </w:r>
          </w:p>
        </w:tc>
        <w:tc>
          <w:tcPr>
            <w:tcW w:type="dxa" w:w="7200"/>
            <w:shd w:fill="17324D"/>
            <w:tcMar>
              <w:top w:w="90" w:type="dxa"/>
              <w:left w:w="90" w:type="dxa"/>
              <w:bottom w:w="90" w:type="dxa"/>
              <w:right w:w="90" w:type="dxa"/>
            </w:tcMar>
          </w:tcPr>
          <w:p>
            <w:r>
              <w:rPr>
                <w:b/>
                <w:color w:val="FFFFFF"/>
                <w:sz w:val="18"/>
              </w:rPr>
              <w:t>Meaning in context</w:t>
            </w:r>
          </w:p>
        </w:tc>
      </w:tr>
      <w:tr>
        <w:trPr>
          <w:cantSplit/>
        </w:trPr>
        <w:tc>
          <w:tcPr>
            <w:tcW w:type="dxa" w:w="2880"/>
            <w:vAlign w:val="top"/>
            <w:tcMar>
              <w:top w:w="85" w:type="dxa"/>
              <w:left w:w="85" w:type="dxa"/>
              <w:bottom w:w="85" w:type="dxa"/>
              <w:right w:w="85" w:type="dxa"/>
            </w:tcMar>
          </w:tcPr>
          <w:p>
            <w:pPr>
              <w:spacing w:after="20"/>
            </w:pPr>
            <w:r>
              <w:rPr>
                <w:sz w:val="18"/>
              </w:rPr>
              <w:t>classification</w:t>
            </w:r>
          </w:p>
        </w:tc>
        <w:tc>
          <w:tcPr>
            <w:tcW w:type="dxa" w:w="7200"/>
            <w:vAlign w:val="top"/>
            <w:tcMar>
              <w:top w:w="85" w:type="dxa"/>
              <w:left w:w="85" w:type="dxa"/>
              <w:bottom w:w="85" w:type="dxa"/>
              <w:right w:w="85" w:type="dxa"/>
            </w:tcMar>
          </w:tcPr>
          <w:p>
            <w:pPr>
              <w:spacing w:after="20"/>
            </w:pPr>
            <w:r>
              <w:rPr>
                <w:sz w:val="18"/>
              </w:rPr>
              <w:t>Putting activities or ideas into categories</w:t>
            </w:r>
          </w:p>
        </w:tc>
      </w:tr>
      <w:tr>
        <w:trPr>
          <w:cantSplit/>
        </w:trPr>
        <w:tc>
          <w:tcPr>
            <w:tcW w:type="dxa" w:w="2880"/>
            <w:vAlign w:val="top"/>
            <w:tcMar>
              <w:top w:w="85" w:type="dxa"/>
              <w:left w:w="85" w:type="dxa"/>
              <w:bottom w:w="85" w:type="dxa"/>
              <w:right w:w="85" w:type="dxa"/>
            </w:tcMar>
            <w:shd w:fill="EFF3F8"/>
          </w:tcPr>
          <w:p>
            <w:pPr>
              <w:spacing w:after="20"/>
            </w:pPr>
            <w:r>
              <w:rPr>
                <w:sz w:val="18"/>
              </w:rPr>
              <w:t>integrity</w:t>
            </w:r>
          </w:p>
        </w:tc>
        <w:tc>
          <w:tcPr>
            <w:tcW w:type="dxa" w:w="7200"/>
            <w:vAlign w:val="top"/>
            <w:tcMar>
              <w:top w:w="85" w:type="dxa"/>
              <w:left w:w="85" w:type="dxa"/>
              <w:bottom w:w="85" w:type="dxa"/>
              <w:right w:w="85" w:type="dxa"/>
            </w:tcMar>
            <w:shd w:fill="EFF3F8"/>
          </w:tcPr>
          <w:p>
            <w:pPr>
              <w:spacing w:after="20"/>
            </w:pPr>
            <w:r>
              <w:rPr>
                <w:sz w:val="18"/>
              </w:rPr>
              <w:t>Following agreed rules honestly and fairly</w:t>
            </w:r>
          </w:p>
        </w:tc>
      </w:tr>
      <w:tr>
        <w:trPr>
          <w:cantSplit/>
        </w:trPr>
        <w:tc>
          <w:tcPr>
            <w:tcW w:type="dxa" w:w="2880"/>
            <w:vAlign w:val="top"/>
            <w:tcMar>
              <w:top w:w="85" w:type="dxa"/>
              <w:left w:w="85" w:type="dxa"/>
              <w:bottom w:w="85" w:type="dxa"/>
              <w:right w:w="85" w:type="dxa"/>
            </w:tcMar>
          </w:tcPr>
          <w:p>
            <w:pPr>
              <w:spacing w:after="20"/>
            </w:pPr>
            <w:r>
              <w:rPr>
                <w:sz w:val="18"/>
              </w:rPr>
              <w:t>validation</w:t>
            </w:r>
          </w:p>
        </w:tc>
        <w:tc>
          <w:tcPr>
            <w:tcW w:type="dxa" w:w="7200"/>
            <w:vAlign w:val="top"/>
            <w:tcMar>
              <w:top w:w="85" w:type="dxa"/>
              <w:left w:w="85" w:type="dxa"/>
              <w:bottom w:w="85" w:type="dxa"/>
              <w:right w:w="85" w:type="dxa"/>
            </w:tcMar>
          </w:tcPr>
          <w:p>
            <w:pPr>
              <w:spacing w:after="20"/>
            </w:pPr>
            <w:r>
              <w:rPr>
                <w:sz w:val="18"/>
              </w:rPr>
              <w:t>Approval or recognition from others</w:t>
            </w:r>
          </w:p>
        </w:tc>
      </w:tr>
      <w:tr>
        <w:trPr>
          <w:cantSplit/>
        </w:trPr>
        <w:tc>
          <w:tcPr>
            <w:tcW w:type="dxa" w:w="2880"/>
            <w:vAlign w:val="top"/>
            <w:tcMar>
              <w:top w:w="85" w:type="dxa"/>
              <w:left w:w="85" w:type="dxa"/>
              <w:bottom w:w="85" w:type="dxa"/>
              <w:right w:w="85" w:type="dxa"/>
            </w:tcMar>
            <w:shd w:fill="EFF3F8"/>
          </w:tcPr>
          <w:p>
            <w:pPr>
              <w:spacing w:after="20"/>
            </w:pPr>
            <w:r>
              <w:rPr>
                <w:sz w:val="18"/>
              </w:rPr>
              <w:t>transparent</w:t>
            </w:r>
          </w:p>
        </w:tc>
        <w:tc>
          <w:tcPr>
            <w:tcW w:type="dxa" w:w="7200"/>
            <w:vAlign w:val="top"/>
            <w:tcMar>
              <w:top w:w="85" w:type="dxa"/>
              <w:left w:w="85" w:type="dxa"/>
              <w:bottom w:w="85" w:type="dxa"/>
              <w:right w:w="85" w:type="dxa"/>
            </w:tcMar>
            <w:shd w:fill="EFF3F8"/>
          </w:tcPr>
          <w:p>
            <w:pPr>
              <w:spacing w:after="20"/>
            </w:pPr>
            <w:r>
              <w:rPr>
                <w:sz w:val="18"/>
              </w:rPr>
              <w:t>Clear and open to examination</w:t>
            </w:r>
          </w:p>
        </w:tc>
      </w:tr>
      <w:tr>
        <w:trPr>
          <w:cantSplit/>
        </w:trPr>
        <w:tc>
          <w:tcPr>
            <w:tcW w:type="dxa" w:w="2880"/>
            <w:vAlign w:val="top"/>
            <w:tcMar>
              <w:top w:w="85" w:type="dxa"/>
              <w:left w:w="85" w:type="dxa"/>
              <w:bottom w:w="85" w:type="dxa"/>
              <w:right w:w="85" w:type="dxa"/>
            </w:tcMar>
          </w:tcPr>
          <w:p>
            <w:pPr>
              <w:spacing w:after="20"/>
            </w:pPr>
            <w:r>
              <w:rPr>
                <w:sz w:val="18"/>
              </w:rPr>
              <w:t>exploitative</w:t>
            </w:r>
          </w:p>
        </w:tc>
        <w:tc>
          <w:tcPr>
            <w:tcW w:type="dxa" w:w="7200"/>
            <w:vAlign w:val="top"/>
            <w:tcMar>
              <w:top w:w="85" w:type="dxa"/>
              <w:left w:w="85" w:type="dxa"/>
              <w:bottom w:w="85" w:type="dxa"/>
              <w:right w:w="85" w:type="dxa"/>
            </w:tcMar>
          </w:tcPr>
          <w:p>
            <w:pPr>
              <w:spacing w:after="20"/>
            </w:pPr>
            <w:r>
              <w:rPr>
                <w:sz w:val="18"/>
              </w:rPr>
              <w:t>Taking unfair advantage of a person or group</w:t>
            </w:r>
          </w:p>
        </w:tc>
      </w:tr>
      <w:tr>
        <w:trPr>
          <w:cantSplit/>
        </w:trPr>
        <w:tc>
          <w:tcPr>
            <w:tcW w:type="dxa" w:w="2880"/>
            <w:vAlign w:val="top"/>
            <w:tcMar>
              <w:top w:w="85" w:type="dxa"/>
              <w:left w:w="85" w:type="dxa"/>
              <w:bottom w:w="85" w:type="dxa"/>
              <w:right w:w="85" w:type="dxa"/>
            </w:tcMar>
            <w:shd w:fill="EFF3F8"/>
          </w:tcPr>
          <w:p>
            <w:pPr>
              <w:spacing w:after="20"/>
            </w:pPr>
            <w:r>
              <w:rPr>
                <w:sz w:val="18"/>
              </w:rPr>
              <w:t>concession</w:t>
            </w:r>
          </w:p>
        </w:tc>
        <w:tc>
          <w:tcPr>
            <w:tcW w:type="dxa" w:w="7200"/>
            <w:vAlign w:val="top"/>
            <w:tcMar>
              <w:top w:w="85" w:type="dxa"/>
              <w:left w:w="85" w:type="dxa"/>
              <w:bottom w:w="85" w:type="dxa"/>
              <w:right w:w="85" w:type="dxa"/>
            </w:tcMar>
            <w:shd w:fill="EFF3F8"/>
          </w:tcPr>
          <w:p>
            <w:pPr>
              <w:spacing w:after="20"/>
            </w:pPr>
            <w:r>
              <w:rPr>
                <w:sz w:val="18"/>
              </w:rPr>
              <w:t>Acknowledging a reasonable part of an opposing view</w:t>
            </w:r>
          </w:p>
        </w:tc>
      </w:tr>
    </w:tbl>
    <w:p>
      <w:pPr>
        <w:spacing w:after="0"/>
      </w:pPr>
    </w:p>
    <w:sectPr w:rsidR="00FC693F" w:rsidRPr="0006063C" w:rsidSect="00034616">
      <w:headerReference w:type="default" r:id="rId9"/>
      <w:footerReference w:type="default" r:id="rId10"/>
      <w:pgSz w:w="12240" w:h="15840"/>
      <w:pgMar w:top="936" w:right="1037" w:bottom="936" w:left="1037" w:header="374"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57586"/>
        <w:sz w:val="16"/>
      </w:rPr>
      <w:t>AQA 8700  |  Esports English  |  Week 06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rFonts w:ascii="Aptos" w:hAnsi="Aptos"/>
        <w:b/>
        <w:color w:val="067D82"/>
        <w:sz w:val="16"/>
      </w:rPr>
      <w:t>ESPORTS  /  ENGLISH LANGUAGE                                 WEEK 06  •  STUDENT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Aptos" w:hAnsi="Aptos"/>
      <w:color w:val="22313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067D82"/>
      <w:sz w:val="22"/>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Theme="majorHAnsi" w:eastAsiaTheme="majorEastAsia" w:hAnsiTheme="majorHAnsi" w:cstheme="majorBidi" w:ascii="Aptos" w:hAnsi="Aptos"/>
      <w:b/>
      <w:bCs/>
      <w:color w:val="17324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7324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