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912"/>
        <w:gridCol w:w="3600"/>
      </w:tblGrid>
      <w:tr>
        <w:tc>
          <w:tcPr>
            <w:tcW w:type="dxa" w:w="5328"/>
            <w:shd w:fill="0B1220"/>
            <w:vAlign w:val="center"/>
          </w:tcPr>
          <w:p>
            <w:pPr>
              <w:spacing w:after="0"/>
              <w:jc w:val="left"/>
            </w:pPr>
            <w:r/>
            <w:r>
              <w:rPr>
                <w:rFonts w:ascii="Aptos" w:hAnsi="Aptos"/>
                <w:b/>
                <w:color w:val="FFFFFF"/>
                <w:sz w:val="26"/>
              </w:rPr>
              <w:t>ESPORTS INSIGHT • TOURNAMENT DESK</w:t>
            </w:r>
          </w:p>
        </w:tc>
        <w:tc>
          <w:tcPr>
            <w:tcW w:type="dxa" w:w="5328"/>
            <w:shd w:fill="0B1220"/>
            <w:vAlign w:val="center"/>
          </w:tcPr>
          <w:p>
            <w:pPr>
              <w:spacing w:after="0"/>
              <w:jc w:val="right"/>
            </w:pPr>
            <w:r/>
            <w:r>
              <w:rPr>
                <w:rFonts w:ascii="Aptos" w:hAnsi="Aptos"/>
                <w:b/>
                <w:color w:val="65C466"/>
                <w:sz w:val="18"/>
              </w:rPr>
              <w:t>REPORT 03  |  11 JUN 2026</w:t>
            </w:r>
          </w:p>
        </w:tc>
      </w:tr>
    </w:tbl>
    <w:p>
      <w:pPr>
        <w:spacing w:before="160" w:after="40"/>
      </w:pPr>
      <w:r>
        <w:rPr>
          <w:rFonts w:ascii="Aptos Display" w:hAnsi="Aptos Display"/>
          <w:b/>
          <w:color w:val="15171B"/>
          <w:sz w:val="56"/>
        </w:rPr>
        <w:t>IRONCLAD EDGE A THRILLER ON ECONOMY MANAGEMENT</w:t>
      </w:r>
    </w:p>
    <w:p>
      <w:pPr>
        <w:spacing w:after="100"/>
      </w:pPr>
      <w:r>
        <w:rPr>
          <w:i/>
          <w:color w:val="4F5964"/>
          <w:sz w:val="22"/>
        </w:rPr>
        <w:t>A narrow 2-1 win is built on disciplined save calls, cleaner buy rounds and one dominant rifle performance.</w:t>
      </w:r>
    </w:p>
    <w:p>
      <w:pPr>
        <w:spacing w:after="60" w:before="0"/>
        <w:pBdr>
          <w:bottom w:val="single" w:sz="18" w:space="1" w:color="65C466"/>
        </w:pBdr>
      </w:pPr>
    </w:p>
    <w:tbl>
      <w:tblPr>
        <w:tblW w:type="auto" w:w="0"/>
        <w:jc w:val="center"/>
        <w:tblLayout w:type="fixed"/>
        <w:tblLook w:firstColumn="1" w:firstRow="1" w:lastColumn="0" w:lastRow="0" w:noHBand="0" w:noVBand="1" w:val="04A0"/>
      </w:tblPr>
      <w:tblGrid>
        <w:gridCol w:w="3744"/>
        <w:gridCol w:w="2232"/>
        <w:gridCol w:w="3744"/>
      </w:tblGrid>
      <w:tr>
        <w:tc>
          <w:tcPr>
            <w:tcW w:type="dxa" w:w="3552"/>
            <w:shd w:fill="111B29"/>
            <w:vAlign w:val="center"/>
          </w:tcPr>
          <w:p>
            <w:pPr>
              <w:spacing w:after="0"/>
              <w:jc w:val="left"/>
            </w:pPr>
            <w:r/>
            <w:r>
              <w:rPr>
                <w:rFonts w:ascii="Aptos" w:hAnsi="Aptos"/>
                <w:b/>
                <w:color w:val="65C466"/>
                <w:sz w:val="30"/>
              </w:rPr>
              <w:t>Ironclad</w:t>
            </w:r>
          </w:p>
        </w:tc>
        <w:tc>
          <w:tcPr>
            <w:tcW w:type="dxa" w:w="3552"/>
            <w:shd w:fill="111B29"/>
            <w:vAlign w:val="center"/>
          </w:tcPr>
          <w:p>
            <w:pPr>
              <w:spacing w:after="0"/>
              <w:jc w:val="left"/>
            </w:pPr>
            <w:r/>
            <w:r>
              <w:rPr>
                <w:rFonts w:ascii="Aptos" w:hAnsi="Aptos"/>
                <w:b/>
                <w:color w:val="FFFFFF"/>
                <w:sz w:val="44"/>
              </w:rPr>
              <w:t>2 - 1</w:t>
            </w:r>
          </w:p>
        </w:tc>
        <w:tc>
          <w:tcPr>
            <w:tcW w:type="dxa" w:w="3552"/>
            <w:shd w:fill="111B29"/>
            <w:vAlign w:val="center"/>
          </w:tcPr>
          <w:p>
            <w:pPr>
              <w:spacing w:after="0"/>
              <w:jc w:val="left"/>
            </w:pPr>
            <w:r/>
            <w:r>
              <w:rPr>
                <w:rFonts w:ascii="Aptos" w:hAnsi="Aptos"/>
                <w:b/>
                <w:color w:val="5BA4FF"/>
                <w:sz w:val="30"/>
              </w:rPr>
              <w:t>Blue Orbit</w:t>
            </w:r>
          </w:p>
        </w:tc>
      </w:tr>
      <w:tr>
        <w:tc>
          <w:tcPr>
            <w:tcW w:type="dxa" w:w="3552"/>
            <w:shd w:fill="111B29"/>
            <w:vAlign w:val="center"/>
          </w:tcPr>
          <w:p>
            <w:pPr>
              <w:spacing w:after="0"/>
              <w:jc w:val="left"/>
            </w:pPr>
            <w:r/>
            <w:r>
              <w:rPr>
                <w:rFonts w:ascii="Aptos" w:hAnsi="Aptos"/>
                <w:b w:val="0"/>
                <w:color w:val="AEBFCE"/>
                <w:sz w:val="16"/>
              </w:rPr>
              <w:t>Group A #1</w:t>
            </w:r>
          </w:p>
        </w:tc>
        <w:tc>
          <w:tcPr>
            <w:tcW w:type="dxa" w:w="3552"/>
            <w:shd w:fill="111B29"/>
            <w:vAlign w:val="center"/>
          </w:tcPr>
          <w:p>
            <w:pPr>
              <w:spacing w:after="0"/>
              <w:jc w:val="left"/>
            </w:pPr>
            <w:r/>
            <w:r>
              <w:rPr>
                <w:rFonts w:ascii="Aptos" w:hAnsi="Aptos"/>
                <w:b/>
                <w:color w:val="AEBFCE"/>
                <w:sz w:val="16"/>
              </w:rPr>
              <w:t>BEST OF THREE</w:t>
            </w:r>
          </w:p>
        </w:tc>
        <w:tc>
          <w:tcPr>
            <w:tcW w:type="dxa" w:w="3552"/>
            <w:shd w:fill="111B29"/>
            <w:vAlign w:val="center"/>
          </w:tcPr>
          <w:p>
            <w:pPr>
              <w:spacing w:after="0"/>
              <w:jc w:val="left"/>
            </w:pPr>
            <w:r/>
            <w:r>
              <w:rPr>
                <w:rFonts w:ascii="Aptos" w:hAnsi="Aptos"/>
                <w:b w:val="0"/>
                <w:color w:val="AEBFCE"/>
                <w:sz w:val="16"/>
              </w:rPr>
              <w:t>Group B #2</w:t>
            </w:r>
          </w:p>
        </w:tc>
      </w:tr>
    </w:tbl>
    <w:tbl>
      <w:tblPr>
        <w:tblW w:type="auto" w:w="0"/>
        <w:jc w:val="center"/>
        <w:tblLayout w:type="fixed"/>
        <w:tblLook w:firstColumn="1" w:firstRow="1" w:lastColumn="0" w:lastRow="0" w:noHBand="0" w:noVBand="1" w:val="04A0"/>
      </w:tblPr>
      <w:tblGrid>
        <w:gridCol w:w="5112"/>
        <w:gridCol w:w="5112"/>
      </w:tblGrid>
      <w:tr>
        <w:tc>
          <w:tcPr>
            <w:tcW w:type="dxa" w:w="5328"/>
          </w:tcPr>
          <w:p>
            <w:pPr>
              <w:spacing w:after="100" w:line="252" w:lineRule="auto"/>
            </w:pPr>
            <w:r/>
            <w:r>
              <w:rPr>
                <w:rFonts w:ascii="Aptos" w:hAnsi="Aptos"/>
                <w:sz w:val="18"/>
              </w:rPr>
              <w:t>Ironclad defeated Blue Orbit 2-1 in a final decided by small economic advantages rather than a huge gap in eliminations. The teams finished only four kills apart across 73 rounds, but Ironclad entered full-buy rounds more often and lost fewer players in rounds they had already decided to save.</w:t>
            </w:r>
          </w:p>
          <w:p>
            <w:pPr>
              <w:spacing w:after="100" w:line="252" w:lineRule="auto"/>
            </w:pPr>
            <w:r>
              <w:rPr>
                <w:rFonts w:ascii="Aptos" w:hAnsi="Aptos"/>
                <w:sz w:val="18"/>
              </w:rPr>
              <w:t>That restraint mattered on the final map. Blue Orbit won five consecutive early rounds, yet Ironclad avoided repeated low-percentage purchases. By round 12, their economy had stabilised and they won six of the next seven full-buy rounds.</w:t>
            </w:r>
          </w:p>
        </w:tc>
        <w:tc>
          <w:tcPr>
            <w:tcW w:type="dxa" w:w="5328"/>
          </w:tcPr>
          <w:p>
            <w:pPr>
              <w:spacing w:after="100" w:line="252" w:lineRule="auto"/>
            </w:pPr>
            <w:r/>
            <w:r>
              <w:rPr>
                <w:rFonts w:ascii="Aptos" w:hAnsi="Aptos"/>
                <w:sz w:val="18"/>
              </w:rPr>
              <w:t>Rifle player Vale led the server with a 1.34 rating and 57% headshot rate. However, the series data also credits support player Ibis with 19 flash assists and the team’s lowest average equipment loss in defeated rounds.</w:t>
            </w:r>
          </w:p>
          <w:p>
            <w:pPr>
              <w:spacing w:after="100" w:line="252" w:lineRule="auto"/>
            </w:pPr>
            <w:r>
              <w:rPr>
                <w:rFonts w:ascii="Aptos" w:hAnsi="Aptos"/>
                <w:sz w:val="18"/>
              </w:rPr>
              <w:t>It is reasonable to infer that Ironclad managed resources effectively. It would be less secure to claim that Blue Orbit 'panicked', because the report contains no direct communication evidence. Professional analysis often sounds certain, so readers need to test every conclusion against what is actually recorded.</w:t>
            </w:r>
          </w:p>
        </w:tc>
      </w:tr>
    </w:tbl>
    <w:p>
      <w:r>
        <w:drawing>
          <wp:inline xmlns:a="http://schemas.openxmlformats.org/drawingml/2006/main" xmlns:pic="http://schemas.openxmlformats.org/drawingml/2006/picture">
            <wp:extent cx="6492240" cy="3289402"/>
            <wp:docPr id="1" name="Picture 1"/>
            <wp:cNvGraphicFramePr>
              <a:graphicFrameLocks noChangeAspect="1"/>
            </wp:cNvGraphicFramePr>
            <a:graphic>
              <a:graphicData uri="http://schemas.openxmlformats.org/drawingml/2006/picture">
                <pic:pic>
                  <pic:nvPicPr>
                    <pic:cNvPr id="0" name="scoreboard_3.png"/>
                    <pic:cNvPicPr/>
                  </pic:nvPicPr>
                  <pic:blipFill>
                    <a:blip r:embed="rId9"/>
                    <a:stretch>
                      <a:fillRect/>
                    </a:stretch>
                  </pic:blipFill>
                  <pic:spPr>
                    <a:xfrm>
                      <a:off x="0" y="0"/>
                      <a:ext cx="6492240" cy="3289402"/>
                    </a:xfrm>
                    <a:prstGeom prst="rect"/>
                  </pic:spPr>
                </pic:pic>
              </a:graphicData>
            </a:graphic>
          </wp:inline>
        </w:drawing>
      </w:r>
    </w:p>
    <w:p>
      <w:pPr>
        <w:jc w:val="center"/>
      </w:pPr>
      <w:r>
        <w:rPr>
          <w:i/>
          <w:color w:val="66717D"/>
          <w:sz w:val="15"/>
        </w:rPr>
        <w:t>Broadcast-style match data panel (simulated from the report dataset).</w:t>
      </w:r>
    </w:p>
    <w:p>
      <w:r>
        <w:br w:type="page"/>
      </w:r>
    </w:p>
    <w:p>
      <w:pPr>
        <w:spacing w:before="100" w:after="60"/>
      </w:pPr>
      <w:r>
        <w:rPr>
          <w:rFonts w:ascii="Aptos Display" w:hAnsi="Aptos Display"/>
          <w:b/>
          <w:color w:val="24113B"/>
          <w:sz w:val="30"/>
        </w:rPr>
        <w:t>DATA ROOM: WHAT THE NUMBERS SHOW</w:t>
      </w:r>
    </w:p>
    <w:p>
      <w:r>
        <w:drawing>
          <wp:inline xmlns:a="http://schemas.openxmlformats.org/drawingml/2006/main" xmlns:pic="http://schemas.openxmlformats.org/drawingml/2006/picture">
            <wp:extent cx="6492240" cy="2921508"/>
            <wp:docPr id="2" name="Picture 2"/>
            <wp:cNvGraphicFramePr>
              <a:graphicFrameLocks noChangeAspect="1"/>
            </wp:cNvGraphicFramePr>
            <a:graphic>
              <a:graphicData uri="http://schemas.openxmlformats.org/drawingml/2006/picture">
                <pic:pic>
                  <pic:nvPicPr>
                    <pic:cNvPr id="0" name="tactical_3.png"/>
                    <pic:cNvPicPr/>
                  </pic:nvPicPr>
                  <pic:blipFill>
                    <a:blip r:embed="rId10"/>
                    <a:stretch>
                      <a:fillRect/>
                    </a:stretch>
                  </pic:blipFill>
                  <pic:spPr>
                    <a:xfrm>
                      <a:off x="0" y="0"/>
                      <a:ext cx="6492240" cy="2921508"/>
                    </a:xfrm>
                    <a:prstGeom prst="rect"/>
                  </pic:spPr>
                </pic:pic>
              </a:graphicData>
            </a:graphic>
          </wp:inline>
        </w:drawing>
      </w:r>
    </w:p>
    <w:p>
      <w:pPr>
        <w:spacing w:before="100" w:after="60"/>
      </w:pPr>
      <w:r>
        <w:rPr>
          <w:rFonts w:ascii="Aptos Display" w:hAnsi="Aptos Display"/>
          <w:b/>
          <w:color w:val="24113B"/>
          <w:sz w:val="26"/>
        </w:rPr>
        <w:t>MATCH EVIDENCE BOARD</w:t>
      </w:r>
    </w:p>
    <w:tbl>
      <w:tblPr>
        <w:tblStyle w:val="TableGrid"/>
        <w:tblW w:type="auto" w:w="0"/>
        <w:jc w:val="center"/>
        <w:tblLook w:firstColumn="1" w:firstRow="1" w:lastColumn="0" w:lastRow="0" w:noHBand="0" w:noVBand="1" w:val="04A0"/>
      </w:tblPr>
      <w:tblGrid>
        <w:gridCol w:w="3552"/>
        <w:gridCol w:w="3552"/>
        <w:gridCol w:w="3552"/>
      </w:tblGrid>
      <w:tr>
        <w:tc>
          <w:tcPr>
            <w:tcW w:type="dxa" w:w="3552"/>
            <w:shd w:fill="24113B"/>
            <w:vAlign w:val="center"/>
          </w:tcPr>
          <w:p>
            <w:pPr>
              <w:spacing w:after="0"/>
              <w:jc w:val="left"/>
            </w:pPr>
            <w:r/>
            <w:r>
              <w:rPr>
                <w:rFonts w:ascii="Aptos" w:hAnsi="Aptos"/>
                <w:b/>
                <w:color w:val="FFFFFF"/>
                <w:sz w:val="18"/>
              </w:rPr>
              <w:t>Evidence</w:t>
            </w:r>
          </w:p>
        </w:tc>
        <w:tc>
          <w:tcPr>
            <w:tcW w:type="dxa" w:w="3552"/>
            <w:shd w:fill="24113B"/>
            <w:vAlign w:val="center"/>
          </w:tcPr>
          <w:p>
            <w:pPr>
              <w:spacing w:after="0"/>
              <w:jc w:val="left"/>
            </w:pPr>
            <w:r/>
            <w:r>
              <w:rPr>
                <w:rFonts w:ascii="Aptos" w:hAnsi="Aptos"/>
                <w:b/>
                <w:color w:val="FFFFFF"/>
                <w:sz w:val="18"/>
              </w:rPr>
              <w:t>Recorded figure</w:t>
            </w:r>
          </w:p>
        </w:tc>
        <w:tc>
          <w:tcPr>
            <w:tcW w:type="dxa" w:w="3552"/>
            <w:shd w:fill="24113B"/>
            <w:vAlign w:val="center"/>
          </w:tcPr>
          <w:p>
            <w:pPr>
              <w:spacing w:after="0"/>
              <w:jc w:val="left"/>
            </w:pPr>
            <w:r/>
            <w:r>
              <w:rPr>
                <w:rFonts w:ascii="Aptos" w:hAnsi="Aptos"/>
                <w:b/>
                <w:color w:val="FFFFFF"/>
                <w:sz w:val="18"/>
              </w:rPr>
              <w:t>What it may suggest</w:t>
            </w:r>
          </w:p>
        </w:tc>
      </w:tr>
      <w:tr>
        <w:tc>
          <w:tcPr>
            <w:tcW w:type="dxa" w:w="3552"/>
            <w:vAlign w:val="center"/>
          </w:tcPr>
          <w:p>
            <w:pPr>
              <w:spacing w:after="0"/>
              <w:jc w:val="left"/>
            </w:pPr>
            <w:r/>
            <w:r>
              <w:rPr>
                <w:rFonts w:ascii="Aptos" w:hAnsi="Aptos"/>
                <w:b/>
                <w:color w:val="111111"/>
                <w:sz w:val="17"/>
              </w:rPr>
              <w:t>Series kills</w:t>
            </w:r>
          </w:p>
        </w:tc>
        <w:tc>
          <w:tcPr>
            <w:tcW w:type="dxa" w:w="3552"/>
            <w:vAlign w:val="center"/>
          </w:tcPr>
          <w:p>
            <w:pPr>
              <w:spacing w:after="0"/>
              <w:jc w:val="left"/>
            </w:pPr>
            <w:r/>
            <w:r>
              <w:rPr>
                <w:rFonts w:ascii="Aptos" w:hAnsi="Aptos"/>
                <w:b/>
                <w:color w:val="65C466"/>
                <w:sz w:val="17"/>
              </w:rPr>
              <w:t>Ironclad +4</w:t>
            </w:r>
          </w:p>
        </w:tc>
        <w:tc>
          <w:tcPr>
            <w:tcW w:type="dxa" w:w="3552"/>
            <w:vAlign w:val="center"/>
          </w:tcPr>
          <w:p>
            <w:pPr>
              <w:spacing w:after="0"/>
              <w:jc w:val="left"/>
            </w:pPr>
            <w:r/>
            <w:r>
              <w:rPr>
                <w:rFonts w:ascii="Aptos" w:hAnsi="Aptos"/>
                <w:b w:val="0"/>
                <w:color w:val="40464D"/>
                <w:sz w:val="16"/>
              </w:rPr>
              <w:t>The teams were closely matched in eliminations.</w:t>
            </w:r>
          </w:p>
        </w:tc>
      </w:tr>
      <w:tr>
        <w:tc>
          <w:tcPr>
            <w:tcW w:type="dxa" w:w="3552"/>
            <w:vAlign w:val="center"/>
          </w:tcPr>
          <w:p>
            <w:pPr>
              <w:spacing w:after="0"/>
              <w:jc w:val="left"/>
            </w:pPr>
            <w:r/>
            <w:r>
              <w:rPr>
                <w:rFonts w:ascii="Aptos" w:hAnsi="Aptos"/>
                <w:b/>
                <w:color w:val="111111"/>
                <w:sz w:val="17"/>
              </w:rPr>
              <w:t>Full-buy rounds won</w:t>
            </w:r>
          </w:p>
        </w:tc>
        <w:tc>
          <w:tcPr>
            <w:tcW w:type="dxa" w:w="3552"/>
            <w:vAlign w:val="center"/>
          </w:tcPr>
          <w:p>
            <w:pPr>
              <w:spacing w:after="0"/>
              <w:jc w:val="left"/>
            </w:pPr>
            <w:r/>
            <w:r>
              <w:rPr>
                <w:rFonts w:ascii="Aptos" w:hAnsi="Aptos"/>
                <w:b/>
                <w:color w:val="65C466"/>
                <w:sz w:val="17"/>
              </w:rPr>
              <w:t>62% Ironclad</w:t>
            </w:r>
          </w:p>
        </w:tc>
        <w:tc>
          <w:tcPr>
            <w:tcW w:type="dxa" w:w="3552"/>
            <w:vAlign w:val="center"/>
          </w:tcPr>
          <w:p>
            <w:pPr>
              <w:spacing w:after="0"/>
              <w:jc w:val="left"/>
            </w:pPr>
            <w:r/>
            <w:r>
              <w:rPr>
                <w:rFonts w:ascii="Aptos" w:hAnsi="Aptos"/>
                <w:b w:val="0"/>
                <w:color w:val="40464D"/>
                <w:sz w:val="16"/>
              </w:rPr>
              <w:t>Their strongest results came with complete equipment.</w:t>
            </w:r>
          </w:p>
        </w:tc>
      </w:tr>
      <w:tr>
        <w:tc>
          <w:tcPr>
            <w:tcW w:type="dxa" w:w="3552"/>
            <w:vAlign w:val="center"/>
          </w:tcPr>
          <w:p>
            <w:pPr>
              <w:spacing w:after="0"/>
              <w:jc w:val="left"/>
            </w:pPr>
            <w:r/>
            <w:r>
              <w:rPr>
                <w:rFonts w:ascii="Aptos" w:hAnsi="Aptos"/>
                <w:b/>
                <w:color w:val="111111"/>
                <w:sz w:val="17"/>
              </w:rPr>
              <w:t>Vale rating</w:t>
            </w:r>
          </w:p>
        </w:tc>
        <w:tc>
          <w:tcPr>
            <w:tcW w:type="dxa" w:w="3552"/>
            <w:vAlign w:val="center"/>
          </w:tcPr>
          <w:p>
            <w:pPr>
              <w:spacing w:after="0"/>
              <w:jc w:val="left"/>
            </w:pPr>
            <w:r/>
            <w:r>
              <w:rPr>
                <w:rFonts w:ascii="Aptos" w:hAnsi="Aptos"/>
                <w:b/>
                <w:color w:val="65C466"/>
                <w:sz w:val="17"/>
              </w:rPr>
              <w:t>1.34</w:t>
            </w:r>
          </w:p>
        </w:tc>
        <w:tc>
          <w:tcPr>
            <w:tcW w:type="dxa" w:w="3552"/>
            <w:vAlign w:val="center"/>
          </w:tcPr>
          <w:p>
            <w:pPr>
              <w:spacing w:after="0"/>
              <w:jc w:val="left"/>
            </w:pPr>
            <w:r/>
            <w:r>
              <w:rPr>
                <w:rFonts w:ascii="Aptos" w:hAnsi="Aptos"/>
                <w:b w:val="0"/>
                <w:color w:val="40464D"/>
                <w:sz w:val="16"/>
              </w:rPr>
              <w:t>Vale had the strongest individual statistical line.</w:t>
            </w:r>
          </w:p>
        </w:tc>
      </w:tr>
      <w:tr>
        <w:tc>
          <w:tcPr>
            <w:tcW w:type="dxa" w:w="3552"/>
            <w:vAlign w:val="center"/>
          </w:tcPr>
          <w:p>
            <w:pPr>
              <w:spacing w:after="0"/>
              <w:jc w:val="left"/>
            </w:pPr>
            <w:r/>
            <w:r>
              <w:rPr>
                <w:rFonts w:ascii="Aptos" w:hAnsi="Aptos"/>
                <w:b/>
                <w:color w:val="111111"/>
                <w:sz w:val="17"/>
              </w:rPr>
              <w:t>Flash assists, Ibis</w:t>
            </w:r>
          </w:p>
        </w:tc>
        <w:tc>
          <w:tcPr>
            <w:tcW w:type="dxa" w:w="3552"/>
            <w:vAlign w:val="center"/>
          </w:tcPr>
          <w:p>
            <w:pPr>
              <w:spacing w:after="0"/>
              <w:jc w:val="left"/>
            </w:pPr>
            <w:r/>
            <w:r>
              <w:rPr>
                <w:rFonts w:ascii="Aptos" w:hAnsi="Aptos"/>
                <w:b/>
                <w:color w:val="65C466"/>
                <w:sz w:val="17"/>
              </w:rPr>
              <w:t>19</w:t>
            </w:r>
          </w:p>
        </w:tc>
        <w:tc>
          <w:tcPr>
            <w:tcW w:type="dxa" w:w="3552"/>
            <w:vAlign w:val="center"/>
          </w:tcPr>
          <w:p>
            <w:pPr>
              <w:spacing w:after="0"/>
              <w:jc w:val="left"/>
            </w:pPr>
            <w:r/>
            <w:r>
              <w:rPr>
                <w:rFonts w:ascii="Aptos" w:hAnsi="Aptos"/>
                <w:b w:val="0"/>
                <w:color w:val="40464D"/>
                <w:sz w:val="16"/>
              </w:rPr>
              <w:t>Support utility contributed directly to team fights.</w:t>
            </w:r>
          </w:p>
        </w:tc>
      </w:tr>
    </w:tbl>
    <w:p>
      <w:pPr>
        <w:spacing w:before="100" w:after="60"/>
      </w:pPr>
      <w:r>
        <w:rPr>
          <w:rFonts w:ascii="Aptos Display" w:hAnsi="Aptos Display"/>
          <w:b/>
          <w:color w:val="24113B"/>
          <w:sz w:val="28"/>
        </w:rPr>
        <w:t>STUDENT INVESTIGATION: FACT OR INFERENCE?</w:t>
      </w:r>
    </w:p>
    <w:p>
      <w:pPr>
        <w:spacing w:after="100"/>
      </w:pPr>
      <w:r>
        <w:t>Read the report and inspect the data panels. A FACT is directly stated or shown in the evidence. An INFERENCE is a reasonable conclusion drawn from that evidence. Do not treat a confident-sounding sentence as fact unless the report proves it.</w:t>
      </w:r>
    </w:p>
    <w:tbl>
      <w:tblPr>
        <w:tblStyle w:val="TableGrid"/>
        <w:tblW w:type="auto" w:w="0"/>
        <w:jc w:val="center"/>
        <w:tblLook w:firstColumn="1" w:firstRow="1" w:lastColumn="0" w:lastRow="0" w:noHBand="0" w:noVBand="1" w:val="04A0"/>
      </w:tblPr>
      <w:tblGrid>
        <w:gridCol w:w="2664"/>
        <w:gridCol w:w="2664"/>
        <w:gridCol w:w="2664"/>
        <w:gridCol w:w="2664"/>
      </w:tblGrid>
      <w:tr>
        <w:tc>
          <w:tcPr>
            <w:tcW w:type="dxa" w:w="2664"/>
            <w:shd w:fill="0B1220"/>
            <w:vAlign w:val="center"/>
          </w:tcPr>
          <w:p>
            <w:pPr>
              <w:spacing w:after="0"/>
              <w:jc w:val="left"/>
            </w:pPr>
            <w:r/>
            <w:r>
              <w:rPr>
                <w:rFonts w:ascii="Aptos" w:hAnsi="Aptos"/>
                <w:b/>
                <w:color w:val="FFFFFF"/>
                <w:sz w:val="16"/>
              </w:rPr>
              <w:t>Statement</w:t>
            </w:r>
          </w:p>
        </w:tc>
        <w:tc>
          <w:tcPr>
            <w:tcW w:type="dxa" w:w="2664"/>
            <w:shd w:fill="0B1220"/>
            <w:vAlign w:val="center"/>
          </w:tcPr>
          <w:p>
            <w:pPr>
              <w:spacing w:after="0"/>
              <w:jc w:val="left"/>
            </w:pPr>
            <w:r/>
            <w:r>
              <w:rPr>
                <w:rFonts w:ascii="Aptos" w:hAnsi="Aptos"/>
                <w:b/>
                <w:color w:val="FFFFFF"/>
                <w:sz w:val="16"/>
              </w:rPr>
              <w:t>Fact / inference?</w:t>
            </w:r>
          </w:p>
        </w:tc>
        <w:tc>
          <w:tcPr>
            <w:tcW w:type="dxa" w:w="2664"/>
            <w:shd w:fill="0B1220"/>
            <w:vAlign w:val="center"/>
          </w:tcPr>
          <w:p>
            <w:pPr>
              <w:spacing w:after="0"/>
              <w:jc w:val="left"/>
            </w:pPr>
            <w:r/>
            <w:r>
              <w:rPr>
                <w:rFonts w:ascii="Aptos" w:hAnsi="Aptos"/>
                <w:b/>
                <w:color w:val="FFFFFF"/>
                <w:sz w:val="16"/>
              </w:rPr>
              <w:t>Evidence you used</w:t>
            </w:r>
          </w:p>
        </w:tc>
        <w:tc>
          <w:tcPr>
            <w:tcW w:type="dxa" w:w="2664"/>
            <w:shd w:fill="0B1220"/>
            <w:vAlign w:val="center"/>
          </w:tcPr>
          <w:p>
            <w:pPr>
              <w:spacing w:after="0"/>
              <w:jc w:val="left"/>
            </w:pPr>
            <w:r/>
            <w:r>
              <w:rPr>
                <w:rFonts w:ascii="Aptos" w:hAnsi="Aptos"/>
                <w:b/>
                <w:color w:val="FFFFFF"/>
                <w:sz w:val="16"/>
              </w:rPr>
              <w:t>How certain are you?</w:t>
            </w:r>
          </w:p>
        </w:tc>
      </w:tr>
      <w:tr>
        <w:tc>
          <w:tcPr>
            <w:tcW w:type="dxa" w:w="2664"/>
            <w:vAlign w:val="center"/>
          </w:tcPr>
          <w:p>
            <w:pPr>
              <w:spacing w:after="0"/>
              <w:jc w:val="left"/>
            </w:pPr>
            <w:r/>
            <w:r>
              <w:rPr>
                <w:rFonts w:ascii="Aptos" w:hAnsi="Aptos"/>
                <w:b w:val="0"/>
                <w:color w:val="111111"/>
                <w:sz w:val="16"/>
              </w:rPr>
              <w:t>Ironclad won 2-1.</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Blue Orbit panicked after losing their lead.</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Vale had a 57% headshot rate.</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Ironclad used save rounds effectively.</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Ibis was more valuable than Vale.</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The teams were separated by only four kills.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Economy management was relevant to the result.</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Ironclad would win a rematch.</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bl>
    <w:p>
      <w:pPr>
        <w:spacing w:before="120" w:after="0"/>
      </w:pPr>
      <w:r>
        <w:rPr>
          <w:b/>
          <w:color w:val="24113B"/>
          <w:sz w:val="18"/>
        </w:rPr>
        <w:t>EXTENSION: Write a 120-150 word analyst paragraph explaining which team appears stronger overall. Use at least three facts, label two inferences, and include one alternative interpretation of the data.</w:t>
      </w:r>
    </w:p>
    <w:p>
      <w:pPr>
        <w:jc w:val="center"/>
      </w:pPr>
      <w:r>
        <w:rPr>
          <w:color w:val="777777"/>
          <w:sz w:val="14"/>
        </w:rPr>
        <w:t>Classroom simulation: teams, tournaments and game data in this report are fictional but designed to mirror professional esports reporting conventions.</w:t>
      </w:r>
    </w:p>
    <w:sectPr w:rsidR="00FC693F" w:rsidRPr="0006063C"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