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064"/>
        <w:gridCol w:w="2160"/>
      </w:tblGrid>
      <w:tr>
        <w:tc>
          <w:tcPr>
            <w:tcW w:type="dxa" w:w="5285"/>
            <w:shd w:fill="0E1B3D"/>
            <w:tcMar>
              <w:top w:w="80" w:type="dxa"/>
              <w:start w:w="140" w:type="dxa"/>
              <w:bottom w:w="80" w:type="dxa"/>
              <w:end w:w="140" w:type="dxa"/>
            </w:tcMar>
          </w:tcPr>
          <w:p>
            <w:r>
              <w:rPr>
                <w:rFonts w:ascii="Aptos Display" w:hAnsi="Aptos Display"/>
                <w:b/>
                <w:color w:val="FFFFFF"/>
                <w:sz w:val="44"/>
              </w:rPr>
              <w:t xml:space="preserve">ESPORTS </w:t>
            </w:r>
            <w:r>
              <w:rPr>
                <w:rFonts w:ascii="Aptos Display" w:hAnsi="Aptos Display"/>
                <w:b/>
                <w:color w:val="C9D5FF"/>
                <w:sz w:val="44"/>
              </w:rPr>
              <w:t>INSIGHT</w:t>
            </w:r>
          </w:p>
        </w:tc>
        <w:tc>
          <w:tcPr>
            <w:tcW w:type="dxa" w:w="5285"/>
            <w:shd w:fill="16817A"/>
            <w:tcMar>
              <w:top w:w="80" w:type="dxa"/>
              <w:start w:w="100" w:type="dxa"/>
              <w:bottom w:w="80" w:type="dxa"/>
              <w:end w:w="100" w:type="dxa"/>
            </w:tcMar>
          </w:tcPr>
          <w:p>
            <w:pPr>
              <w:jc w:val="center"/>
            </w:pPr>
            <w:r>
              <w:rPr>
                <w:b/>
                <w:color w:val="FFFFFF"/>
                <w:sz w:val="18"/>
              </w:rPr>
              <w:t>FEATURE 03 / INCLUSION</w:t>
            </w:r>
          </w:p>
        </w:tc>
      </w:tr>
    </w:tbl>
    <w:p>
      <w:pPr>
        <w:spacing w:after="0"/>
      </w:pPr>
    </w:p>
    <w:p>
      <w:pPr>
        <w:pStyle w:val="Kicker"/>
      </w:pPr>
      <w:r>
        <w:t>ACCESSIBILITY &amp; INCLUSION</w:t>
      </w:r>
    </w:p>
    <w:p>
      <w:pPr>
        <w:pStyle w:val="Title"/>
        <w:spacing w:after="100"/>
      </w:pPr>
      <w:r>
        <w:t>Playing Without Barriers</w:t>
      </w:r>
    </w:p>
    <w:p>
      <w:pPr>
        <w:spacing w:after="160"/>
      </w:pPr>
      <w:r>
        <w:rPr>
          <w:i/>
          <w:color w:val="4B5563"/>
          <w:sz w:val="23"/>
        </w:rPr>
        <w:t>Competitive gaming is often praised for being open to many people, but genuine access depends on design, equipment and community choices.</w:t>
      </w:r>
    </w:p>
    <w:p>
      <w:pPr>
        <w:spacing w:after="200"/>
        <w:pBdr>
          <w:bottom w:val="single" w:sz="16" w:space="1" w:color="16817A"/>
        </w:pBdr>
      </w:pPr>
      <w:r>
        <w:rPr>
          <w:b/>
          <w:color w:val="16817A"/>
          <w:sz w:val="19"/>
        </w:rPr>
        <w:t>By Aisha Morgan</w:t>
      </w:r>
    </w:p>
    <w:tbl>
      <w:tblPr>
        <w:tblW w:type="auto" w:w="0"/>
        <w:jc w:val="center"/>
        <w:tblLayout w:type="fixed"/>
        <w:tblLook w:firstColumn="1" w:firstRow="1" w:lastColumn="0" w:lastRow="0" w:noHBand="0" w:noVBand="1" w:val="04A0"/>
      </w:tblPr>
      <w:tblGrid>
        <w:gridCol w:w="4925"/>
        <w:gridCol w:w="4925"/>
      </w:tblGrid>
      <w:tr>
        <w:tc>
          <w:tcPr>
            <w:tcW w:type="dxa" w:w="5285"/>
            <w:tcMar>
              <w:top w:w="0" w:type="dxa"/>
              <w:start w:w="0" w:type="dxa"/>
              <w:bottom w:w="0" w:type="dxa"/>
              <w:end w:w="100" w:type="dxa"/>
            </w:tcMar>
            <w:tcBorders>
              <w:top w:val="nil"/>
              <w:left w:val="nil"/>
              <w:bottom w:val="nil"/>
              <w:right w:val="nil"/>
              <w:insideH w:val="nil"/>
              <w:insideV w:val="nil"/>
            </w:tcBorders>
          </w:tcPr>
          <w:p>
            <w:pPr>
              <w:spacing w:after="100" w:line="245" w:lineRule="auto"/>
              <w:ind w:firstLine="0"/>
            </w:pPr>
            <w:r>
              <w:rPr>
                <w:sz w:val="17"/>
              </w:rPr>
              <w:t>Esports can remove some of the barriers found in traditional sport, but it does not automatically become accessible simply because the competition happens through a computer or console. Players may have different physical, sensory or cognitive needs, and the standard setup of a small controller, rapid visual effects and dense audio cues will not suit everyone. Inclusive esports begins with the question: what does this player need in order to compete, communicate and enjoy the game?</w:t>
            </w:r>
          </w:p>
          <w:p>
            <w:pPr>
              <w:spacing w:after="100" w:line="245" w:lineRule="auto"/>
              <w:ind w:firstLine="187"/>
            </w:pPr>
            <w:r>
              <w:rPr>
                <w:sz w:val="17"/>
              </w:rPr>
              <w:t>Adaptive equipment can change what is possible. Some players use larger programmable buttons, alternative joysticks, foot controls or devices that respond to very small movements. Others remap controls so that the most important actions sit in more comfortable positions. These changes do not “make the game easier”. They allow the player to access the same decisions and challenges through a different interface.</w:t>
            </w:r>
          </w:p>
          <w:p>
            <w:pPr>
              <w:spacing w:after="100" w:line="245" w:lineRule="auto"/>
              <w:ind w:firstLine="187"/>
            </w:pPr>
            <w:r>
              <w:rPr>
                <w:sz w:val="17"/>
              </w:rPr>
              <w:t>Game design matters too. Clear subtitles can support deaf and hard-of-hearing players, while colour-blind settings may separate important information using shape or contrast rather than colour alone. Adjustable camera movement, text size and visual effects can reduce discomfort for some users. In team games, a ping system can provide non-verbal ways to communicate locations and intentions, which may help players who cannot or prefer not to use voice chat.</w:t>
            </w:r>
          </w:p>
        </w:tc>
        <w:tc>
          <w:tcPr>
            <w:tcW w:type="dxa" w:w="5285"/>
            <w:tcMar>
              <w:top w:w="0" w:type="dxa"/>
              <w:start w:w="0" w:type="dxa"/>
              <w:bottom w:w="0" w:type="dxa"/>
              <w:end w:w="0" w:type="dxa"/>
            </w:tcMar>
            <w:tcBorders>
              <w:top w:val="nil"/>
              <w:left w:val="nil"/>
              <w:bottom w:val="nil"/>
              <w:right w:val="nil"/>
              <w:insideH w:val="nil"/>
              <w:insideV w:val="nil"/>
            </w:tcBorders>
          </w:tcPr>
          <w:p>
            <w:pPr>
              <w:spacing w:after="100" w:line="245" w:lineRule="auto"/>
              <w:ind w:firstLine="0"/>
            </w:pPr>
            <w:r>
              <w:rPr>
                <w:sz w:val="17"/>
              </w:rPr>
              <w:t>Tournament organisers also shape access. A venue may need step-free routes, suitable desk heights, quiet spaces, clear signage and extra setup time for specialist equipment. Staff need to know that accessibility is not a favour granted at the last minute; it is part of planning. When organisers speak directly with players about what works for them, solutions are usually more accurate than assumptions.</w:t>
            </w:r>
          </w:p>
          <w:p>
            <w:pPr>
              <w:spacing w:after="100" w:line="245" w:lineRule="auto"/>
              <w:ind w:firstLine="187"/>
            </w:pPr>
            <w:r>
              <w:rPr>
                <w:sz w:val="17"/>
              </w:rPr>
              <w:t>Fans influence inclusion as well. Online communities sometimes treat disability-related adjustments as suspicious, especially when they do not understand how adaptive technology works. That can place disabled players in the exhausting position of repeatedly proving that their equipment is legitimate. Clear tournament rules, transparent equipment checks and respectful commentary can reduce this problem by making access arrangements ordinary rather than controversial.</w:t>
            </w:r>
          </w:p>
          <w:p>
            <w:pPr>
              <w:spacing w:after="100" w:line="245" w:lineRule="auto"/>
              <w:ind w:firstLine="187"/>
            </w:pPr>
            <w:r>
              <w:rPr>
                <w:sz w:val="17"/>
              </w:rPr>
              <w:t>Representation has an effect beyond the individual competitor. When audiences see disabled players, women, older competitors and people from a range of cultural backgrounds participating seriously, the imagined picture of “who an esports player is” becomes wider. This does not mean every event needs to turn identity into a storyline. Sometimes inclusion is strongest when a player is allowed to be known first for strategy, humour, leadership or skill.</w:t>
            </w:r>
          </w:p>
          <w:p>
            <w:pPr>
              <w:spacing w:before="100" w:after="120"/>
              <w:jc w:val="center"/>
            </w:pPr>
            <w:r>
              <w:rPr>
                <w:rFonts w:ascii="Aptos Display" w:hAnsi="Aptos Display"/>
                <w:b/>
                <w:i/>
                <w:color w:val="16817A"/>
                <w:sz w:val="25"/>
              </w:rPr>
              <w:t>“Accessibility is not about lowering the level of competition; it is about removing unnecessary barriers to taking part.”</w:t>
            </w:r>
          </w:p>
          <w:p>
            <w:pPr>
              <w:spacing w:after="100" w:line="245" w:lineRule="auto"/>
              <w:ind w:firstLine="187"/>
            </w:pPr>
            <w:r>
              <w:rPr>
                <w:sz w:val="17"/>
              </w:rPr>
              <w:t>Accessible design often benefits more people than expected. Captions help viewers watching in a noisy room. Remappable controls help players recovering from an injury. Clear interfaces help beginners. Flexible communication tools support multilingual teams. The lesson for esports is simple: designing for difference does not weaken competition. It gives more people a fair chance to take part in it.</w:t>
            </w:r>
          </w:p>
        </w:tc>
      </w:tr>
    </w:tbl>
    <w:p>
      <w:pPr>
        <w:spacing w:before="100" w:after="0"/>
        <w:jc w:val="center"/>
      </w:pPr>
      <w:r>
        <w:rPr>
          <w:b/>
          <w:color w:val="16817A"/>
          <w:sz w:val="15"/>
        </w:rPr>
        <w:t>ESPORTS INSIGHT • ORIGINAL CLASSROOM FEATURE</w:t>
      </w:r>
    </w:p>
    <w:p>
      <w:r>
        <w:br w:type="page"/>
      </w:r>
    </w:p>
    <w:p>
      <w:pPr>
        <w:pStyle w:val="Heading1"/>
      </w:pPr>
      <w:r>
        <w:t>READ • NOTICE • EXPLAIN</w:t>
      </w:r>
    </w:p>
    <w:p>
      <w:r>
        <w:rPr>
          <w:i/>
          <w:color w:val="4B5563"/>
        </w:rPr>
        <w:t>Use the article as evidence. You are not expected to know esports already.</w:t>
      </w:r>
    </w:p>
    <w:tbl>
      <w:tblPr>
        <w:tblW w:type="auto" w:w="0"/>
        <w:jc w:val="center"/>
        <w:tblLayout w:type="fixed"/>
        <w:tblLook w:firstColumn="1" w:firstRow="1" w:lastColumn="0" w:lastRow="0" w:noHBand="0" w:noVBand="1" w:val="04A0"/>
      </w:tblPr>
      <w:tblGrid>
        <w:gridCol w:w="864"/>
        <w:gridCol w:w="9144"/>
      </w:tblGrid>
      <w:tr>
        <w:tc>
          <w:tcPr>
            <w:tcW w:type="dxa" w:w="5285"/>
            <w:shd w:fill="16817A"/>
            <w:tcMar>
              <w:top w:w="120" w:type="dxa"/>
              <w:start w:w="70" w:type="dxa"/>
              <w:bottom w:w="120" w:type="dxa"/>
              <w:end w:w="70" w:type="dxa"/>
            </w:tcMar>
            <w:vAlign w:val="center"/>
          </w:tcPr>
          <w:p>
            <w:pPr>
              <w:jc w:val="center"/>
            </w:pPr>
            <w:r>
              <w:rPr>
                <w:b/>
                <w:color w:val="FFFFFF"/>
                <w:sz w:val="30"/>
              </w:rPr>
              <w:t>1</w:t>
            </w:r>
          </w:p>
        </w:tc>
        <w:tc>
          <w:tcPr>
            <w:tcW w:type="dxa" w:w="5285"/>
            <w:shd w:fill="EAF6F4"/>
            <w:tcMar>
              <w:top w:w="120" w:type="dxa"/>
              <w:start w:w="140" w:type="dxa"/>
              <w:bottom w:w="120" w:type="dxa"/>
              <w:end w:w="140" w:type="dxa"/>
            </w:tcMar>
          </w:tcPr>
          <w:p>
            <w:pPr>
              <w:spacing w:after="0"/>
            </w:pPr>
            <w:r>
              <w:t>What does the article tell you about esports players? Write 3–5 points. For each one, copy or paraphrase a detail from the text that supports your idea.</w:t>
            </w:r>
          </w:p>
        </w:tc>
      </w:tr>
      <w:tr>
        <w:tc>
          <w:tcPr>
            <w:tcW w:type="dxa" w:w="5285"/>
            <w:shd w:fill="16817A"/>
            <w:tcMar>
              <w:top w:w="120" w:type="dxa"/>
              <w:start w:w="70" w:type="dxa"/>
              <w:bottom w:w="120" w:type="dxa"/>
              <w:end w:w="70" w:type="dxa"/>
            </w:tcMar>
            <w:vAlign w:val="center"/>
          </w:tcPr>
          <w:p>
            <w:pPr>
              <w:jc w:val="center"/>
            </w:pPr>
            <w:r>
              <w:rPr>
                <w:b/>
                <w:color w:val="FFFFFF"/>
                <w:sz w:val="30"/>
              </w:rPr>
              <w:t>2</w:t>
            </w:r>
          </w:p>
        </w:tc>
        <w:tc>
          <w:tcPr>
            <w:tcW w:type="dxa" w:w="5285"/>
            <w:shd w:fill="EAF6F4"/>
            <w:tcMar>
              <w:top w:w="120" w:type="dxa"/>
              <w:start w:w="140" w:type="dxa"/>
              <w:bottom w:w="120" w:type="dxa"/>
              <w:end w:w="140" w:type="dxa"/>
            </w:tcMar>
          </w:tcPr>
          <w:p>
            <w:pPr>
              <w:spacing w:after="0"/>
            </w:pPr>
            <w:r>
              <w:t>What does the article tell you about esports fans or audiences? Identify attitudes, behaviours, expectations or reasons for watching. Support each point with evidence.</w:t>
            </w:r>
          </w:p>
        </w:tc>
      </w:tr>
      <w:tr>
        <w:tc>
          <w:tcPr>
            <w:tcW w:type="dxa" w:w="5285"/>
            <w:shd w:fill="16817A"/>
            <w:tcMar>
              <w:top w:w="120" w:type="dxa"/>
              <w:start w:w="70" w:type="dxa"/>
              <w:bottom w:w="120" w:type="dxa"/>
              <w:end w:w="70" w:type="dxa"/>
            </w:tcMar>
            <w:vAlign w:val="center"/>
          </w:tcPr>
          <w:p>
            <w:pPr>
              <w:jc w:val="center"/>
            </w:pPr>
            <w:r>
              <w:rPr>
                <w:b/>
                <w:color w:val="FFFFFF"/>
                <w:sz w:val="30"/>
              </w:rPr>
              <w:t>3</w:t>
            </w:r>
          </w:p>
        </w:tc>
        <w:tc>
          <w:tcPr>
            <w:tcW w:type="dxa" w:w="5285"/>
            <w:shd w:fill="EAF6F4"/>
            <w:tcMar>
              <w:top w:w="120" w:type="dxa"/>
              <w:start w:w="140" w:type="dxa"/>
              <w:bottom w:w="120" w:type="dxa"/>
              <w:end w:w="140" w:type="dxa"/>
            </w:tcMar>
          </w:tcPr>
          <w:p>
            <w:pPr>
              <w:spacing w:after="0"/>
            </w:pPr>
            <w:r>
              <w:t>Build a useful glossary. Start with the terms listed below, then add at least three more words or phrases from the article. Define each term in your own words and, where helpful, give an example.</w:t>
            </w:r>
          </w:p>
        </w:tc>
      </w:tr>
      <w:tr>
        <w:tc>
          <w:tcPr>
            <w:tcW w:type="dxa" w:w="5285"/>
            <w:shd w:fill="16817A"/>
            <w:tcMar>
              <w:top w:w="120" w:type="dxa"/>
              <w:start w:w="70" w:type="dxa"/>
              <w:bottom w:w="120" w:type="dxa"/>
              <w:end w:w="70" w:type="dxa"/>
            </w:tcMar>
            <w:vAlign w:val="center"/>
          </w:tcPr>
          <w:p>
            <w:pPr>
              <w:jc w:val="center"/>
            </w:pPr>
            <w:r>
              <w:rPr>
                <w:b/>
                <w:color w:val="FFFFFF"/>
                <w:sz w:val="30"/>
              </w:rPr>
              <w:t>4</w:t>
            </w:r>
          </w:p>
        </w:tc>
        <w:tc>
          <w:tcPr>
            <w:tcW w:type="dxa" w:w="5285"/>
            <w:shd w:fill="EAF6F4"/>
            <w:tcMar>
              <w:top w:w="120" w:type="dxa"/>
              <w:start w:w="140" w:type="dxa"/>
              <w:bottom w:w="120" w:type="dxa"/>
              <w:end w:w="140" w:type="dxa"/>
            </w:tcMar>
          </w:tcPr>
          <w:p>
            <w:pPr>
              <w:spacing w:after="0"/>
            </w:pPr>
            <w:r>
              <w:t>Write a 120–180 word explanation for someone who is completely new to esports. Explain the key idea from this article clearly, avoid unexplained jargon, and use at least four glossary terms accurately.</w:t>
            </w:r>
          </w:p>
        </w:tc>
      </w:tr>
    </w:tbl>
    <w:p/>
    <w:p>
      <w:r>
        <w:rPr>
          <w:b/>
          <w:color w:val="16817A"/>
        </w:rPr>
        <w:t xml:space="preserve">Glossary starter: </w:t>
      </w:r>
      <w:r>
        <w:t>adaptive equipment, remap, interface, subtitles, colour-blind settings, ping system, step-free access, representation.</w:t>
      </w:r>
    </w:p>
    <w:p>
      <w:r>
        <w:rPr>
          <w:b/>
        </w:rPr>
        <w:t xml:space="preserve">Challenge: </w:t>
      </w:r>
      <w:r>
        <w:t>Which single sentence from the article would be most useful to a newcomer, and why?</w:t>
      </w:r>
    </w:p>
    <w:p>
      <w:pPr>
        <w:spacing w:before="200"/>
      </w:pPr>
      <w:r>
        <w:rPr>
          <w:b/>
          <w:color w:val="16817A"/>
        </w:rPr>
        <w:t>TEACHER NOTE</w:t>
      </w:r>
    </w:p>
    <w:p>
      <w:r>
        <w:t>The article is an original classroom text written in a magazine style. Names, teams and events are fictional unless described generically. This keeps the focus on language, inference and explanation rather than prior esports knowledge.</w:t>
      </w:r>
    </w:p>
    <w:sectPr w:rsidR="00FC693F" w:rsidRPr="0006063C" w:rsidSect="00034616">
      <w:footerReference w:type="default" r:id="rId9"/>
      <w:pgSz w:w="12240" w:h="15840"/>
      <w:pgMar w:top="691" w:right="835" w:bottom="720"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color w:val="0E1B3D"/>
        <w:sz w:val="16"/>
      </w:rPr>
      <w:t xml:space="preserve">ESPORTS INSIGHT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6817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E1B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E1B3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60"/>
    </w:pPr>
    <w:rPr>
      <w:rFonts w:ascii="Aptos" w:hAnsi="Aptos"/>
      <w:b/>
      <w:color w:val="16817A"/>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