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6912"/>
        <w:gridCol w:w="3600"/>
      </w:tblGrid>
      <w:tr>
        <w:tc>
          <w:tcPr>
            <w:tcW w:type="dxa" w:w="5328"/>
            <w:shd w:fill="0B1220"/>
            <w:vAlign w:val="center"/>
          </w:tcPr>
          <w:p>
            <w:pPr>
              <w:spacing w:after="0"/>
              <w:jc w:val="left"/>
            </w:pPr>
            <w:r/>
            <w:r>
              <w:rPr>
                <w:rFonts w:ascii="Aptos" w:hAnsi="Aptos"/>
                <w:b/>
                <w:color w:val="FFFFFF"/>
                <w:sz w:val="26"/>
              </w:rPr>
              <w:t>ESPORTS INSIGHT • TOURNAMENT DESK</w:t>
            </w:r>
          </w:p>
        </w:tc>
        <w:tc>
          <w:tcPr>
            <w:tcW w:type="dxa" w:w="5328"/>
            <w:shd w:fill="0B1220"/>
            <w:vAlign w:val="center"/>
          </w:tcPr>
          <w:p>
            <w:pPr>
              <w:spacing w:after="0"/>
              <w:jc w:val="right"/>
            </w:pPr>
            <w:r/>
            <w:r>
              <w:rPr>
                <w:rFonts w:ascii="Aptos" w:hAnsi="Aptos"/>
                <w:b/>
                <w:color w:val="E34B4B"/>
                <w:sz w:val="18"/>
              </w:rPr>
              <w:t>REPORT 05  |  09 APR 2026</w:t>
            </w:r>
          </w:p>
        </w:tc>
      </w:tr>
    </w:tbl>
    <w:p>
      <w:pPr>
        <w:spacing w:before="160" w:after="40"/>
      </w:pPr>
      <w:r>
        <w:rPr>
          <w:rFonts w:ascii="Aptos Display" w:hAnsi="Aptos Display"/>
          <w:b/>
          <w:color w:val="15171B"/>
          <w:sz w:val="56"/>
        </w:rPr>
        <w:t>EMBER CREW WIN TITLE WITHOUT THE MOST ELIMINATIONS</w:t>
      </w:r>
    </w:p>
    <w:p>
      <w:pPr>
        <w:spacing w:after="100"/>
      </w:pPr>
      <w:r>
        <w:rPr>
          <w:i/>
          <w:color w:val="4F5964"/>
          <w:sz w:val="22"/>
        </w:rPr>
        <w:t>Placement points, rotation timing and late-game survival outweigh raw aggression across twelve matches.</w:t>
      </w:r>
    </w:p>
    <w:p>
      <w:pPr>
        <w:spacing w:after="60" w:before="0"/>
        <w:pBdr>
          <w:bottom w:val="single" w:sz="18" w:space="1" w:color="E34B4B"/>
        </w:pBdr>
      </w:pPr>
    </w:p>
    <w:tbl>
      <w:tblPr>
        <w:tblW w:type="auto" w:w="0"/>
        <w:jc w:val="center"/>
        <w:tblLayout w:type="fixed"/>
        <w:tblLook w:firstColumn="1" w:firstRow="1" w:lastColumn="0" w:lastRow="0" w:noHBand="0" w:noVBand="1" w:val="04A0"/>
      </w:tblPr>
      <w:tblGrid>
        <w:gridCol w:w="3744"/>
        <w:gridCol w:w="2232"/>
        <w:gridCol w:w="3744"/>
      </w:tblGrid>
      <w:tr>
        <w:tc>
          <w:tcPr>
            <w:tcW w:type="dxa" w:w="3552"/>
            <w:shd w:fill="111B29"/>
            <w:vAlign w:val="center"/>
          </w:tcPr>
          <w:p>
            <w:pPr>
              <w:spacing w:after="0"/>
              <w:jc w:val="left"/>
            </w:pPr>
            <w:r/>
            <w:r>
              <w:rPr>
                <w:rFonts w:ascii="Aptos" w:hAnsi="Aptos"/>
                <w:b/>
                <w:color w:val="E34B4B"/>
                <w:sz w:val="30"/>
              </w:rPr>
              <w:t>Ember Crew</w:t>
            </w:r>
          </w:p>
        </w:tc>
        <w:tc>
          <w:tcPr>
            <w:tcW w:type="dxa" w:w="3552"/>
            <w:shd w:fill="111B29"/>
            <w:vAlign w:val="center"/>
          </w:tcPr>
          <w:p>
            <w:pPr>
              <w:spacing w:after="0"/>
              <w:jc w:val="left"/>
            </w:pPr>
            <w:r/>
            <w:r>
              <w:rPr>
                <w:rFonts w:ascii="Aptos" w:hAnsi="Aptos"/>
                <w:b/>
                <w:color w:val="FFFFFF"/>
                <w:sz w:val="44"/>
              </w:rPr>
              <w:t>186 - 177</w:t>
            </w:r>
          </w:p>
        </w:tc>
        <w:tc>
          <w:tcPr>
            <w:tcW w:type="dxa" w:w="3552"/>
            <w:shd w:fill="111B29"/>
            <w:vAlign w:val="center"/>
          </w:tcPr>
          <w:p>
            <w:pPr>
              <w:spacing w:after="0"/>
              <w:jc w:val="left"/>
            </w:pPr>
            <w:r/>
            <w:r>
              <w:rPr>
                <w:rFonts w:ascii="Aptos" w:hAnsi="Aptos"/>
                <w:b/>
                <w:color w:val="8D6BFF"/>
                <w:sz w:val="30"/>
              </w:rPr>
              <w:t>Rift Wolves</w:t>
            </w:r>
          </w:p>
        </w:tc>
      </w:tr>
      <w:tr>
        <w:tc>
          <w:tcPr>
            <w:tcW w:type="dxa" w:w="3552"/>
            <w:shd w:fill="111B29"/>
            <w:vAlign w:val="center"/>
          </w:tcPr>
          <w:p>
            <w:pPr>
              <w:spacing w:after="0"/>
              <w:jc w:val="left"/>
            </w:pPr>
            <w:r/>
            <w:r>
              <w:rPr>
                <w:rFonts w:ascii="Aptos" w:hAnsi="Aptos"/>
                <w:b w:val="0"/>
                <w:color w:val="AEBFCE"/>
                <w:sz w:val="16"/>
              </w:rPr>
              <w:t>Final standings #1</w:t>
            </w:r>
          </w:p>
        </w:tc>
        <w:tc>
          <w:tcPr>
            <w:tcW w:type="dxa" w:w="3552"/>
            <w:shd w:fill="111B29"/>
            <w:vAlign w:val="center"/>
          </w:tcPr>
          <w:p>
            <w:pPr>
              <w:spacing w:after="0"/>
              <w:jc w:val="left"/>
            </w:pPr>
            <w:r/>
            <w:r>
              <w:rPr>
                <w:rFonts w:ascii="Aptos" w:hAnsi="Aptos"/>
                <w:b/>
                <w:color w:val="AEBFCE"/>
                <w:sz w:val="16"/>
              </w:rPr>
              <w:t>12-MATCH FINAL</w:t>
            </w:r>
          </w:p>
        </w:tc>
        <w:tc>
          <w:tcPr>
            <w:tcW w:type="dxa" w:w="3552"/>
            <w:shd w:fill="111B29"/>
            <w:vAlign w:val="center"/>
          </w:tcPr>
          <w:p>
            <w:pPr>
              <w:spacing w:after="0"/>
              <w:jc w:val="left"/>
            </w:pPr>
            <w:r/>
            <w:r>
              <w:rPr>
                <w:rFonts w:ascii="Aptos" w:hAnsi="Aptos"/>
                <w:b w:val="0"/>
                <w:color w:val="AEBFCE"/>
                <w:sz w:val="16"/>
              </w:rPr>
              <w:t>Final standings #2</w:t>
            </w:r>
          </w:p>
        </w:tc>
      </w:tr>
    </w:tbl>
    <w:tbl>
      <w:tblPr>
        <w:tblW w:type="auto" w:w="0"/>
        <w:jc w:val="center"/>
        <w:tblLayout w:type="fixed"/>
        <w:tblLook w:firstColumn="1" w:firstRow="1" w:lastColumn="0" w:lastRow="0" w:noHBand="0" w:noVBand="1" w:val="04A0"/>
      </w:tblPr>
      <w:tblGrid>
        <w:gridCol w:w="5112"/>
        <w:gridCol w:w="5112"/>
      </w:tblGrid>
      <w:tr>
        <w:tc>
          <w:tcPr>
            <w:tcW w:type="dxa" w:w="5328"/>
          </w:tcPr>
          <w:p>
            <w:pPr>
              <w:spacing w:after="100" w:line="252" w:lineRule="auto"/>
            </w:pPr>
            <w:r/>
            <w:r>
              <w:rPr>
                <w:rFonts w:ascii="Aptos" w:hAnsi="Aptos"/>
                <w:sz w:val="18"/>
              </w:rPr>
              <w:t>Ember Crew won the World Survival Finals by nine points despite recording fewer eliminations than runners-up Rift Wolves. Across twelve matches, Ember collected 69 elimination points and 117 placement points. Rift Wolves produced 81 elimination points but only 96 from placement.</w:t>
            </w:r>
          </w:p>
          <w:p>
            <w:pPr>
              <w:spacing w:after="100" w:line="252" w:lineRule="auto"/>
            </w:pPr>
            <w:r>
              <w:rPr>
                <w:rFonts w:ascii="Aptos" w:hAnsi="Aptos"/>
                <w:sz w:val="18"/>
              </w:rPr>
              <w:t>Ember reached the final eight teams in ten of twelve matches and placed inside the top three six times. Their route choices were usually made before the fourth zone closed, reducing the distance they had to travel through contested areas later.</w:t>
            </w:r>
          </w:p>
        </w:tc>
        <w:tc>
          <w:tcPr>
            <w:tcW w:type="dxa" w:w="5328"/>
          </w:tcPr>
          <w:p>
            <w:pPr>
              <w:spacing w:after="100" w:line="252" w:lineRule="auto"/>
            </w:pPr>
            <w:r/>
            <w:r>
              <w:rPr>
                <w:rFonts w:ascii="Aptos" w:hAnsi="Aptos"/>
                <w:sz w:val="18"/>
              </w:rPr>
              <w:t>Match 11 created the decisive gap. Rift Wolves earned eight eliminations but exited in 13th place after a contested rotation. Ember recorded only three eliminations, survived to second place and scored 18 total points from the match.</w:t>
            </w:r>
          </w:p>
          <w:p>
            <w:pPr>
              <w:spacing w:after="100" w:line="252" w:lineRule="auto"/>
            </w:pPr>
            <w:r>
              <w:rPr>
                <w:rFonts w:ascii="Aptos" w:hAnsi="Aptos"/>
                <w:sz w:val="18"/>
              </w:rPr>
              <w:t>The data proves that Ember scored more placement points and survived deeper into more matches. It supports an inference that their tournament strategy prioritised consistency. It does not prove that they were 'less brave' or that Rift Wolves were reckless; those are value judgements requiring evidence beyond a scoreboard.</w:t>
            </w:r>
          </w:p>
        </w:tc>
      </w:tr>
    </w:tbl>
    <w:p>
      <w:r>
        <w:drawing>
          <wp:inline xmlns:a="http://schemas.openxmlformats.org/drawingml/2006/main" xmlns:pic="http://schemas.openxmlformats.org/drawingml/2006/picture">
            <wp:extent cx="6492240" cy="3289402"/>
            <wp:docPr id="1" name="Picture 1"/>
            <wp:cNvGraphicFramePr>
              <a:graphicFrameLocks noChangeAspect="1"/>
            </wp:cNvGraphicFramePr>
            <a:graphic>
              <a:graphicData uri="http://schemas.openxmlformats.org/drawingml/2006/picture">
                <pic:pic>
                  <pic:nvPicPr>
                    <pic:cNvPr id="0" name="scoreboard_5.png"/>
                    <pic:cNvPicPr/>
                  </pic:nvPicPr>
                  <pic:blipFill>
                    <a:blip r:embed="rId9"/>
                    <a:stretch>
                      <a:fillRect/>
                    </a:stretch>
                  </pic:blipFill>
                  <pic:spPr>
                    <a:xfrm>
                      <a:off x="0" y="0"/>
                      <a:ext cx="6492240" cy="3289402"/>
                    </a:xfrm>
                    <a:prstGeom prst="rect"/>
                  </pic:spPr>
                </pic:pic>
              </a:graphicData>
            </a:graphic>
          </wp:inline>
        </w:drawing>
      </w:r>
    </w:p>
    <w:p>
      <w:pPr>
        <w:jc w:val="center"/>
      </w:pPr>
      <w:r>
        <w:rPr>
          <w:i/>
          <w:color w:val="66717D"/>
          <w:sz w:val="15"/>
        </w:rPr>
        <w:t>Broadcast-style match data panel (simulated from the report dataset).</w:t>
      </w:r>
    </w:p>
    <w:p>
      <w:r>
        <w:br w:type="page"/>
      </w:r>
    </w:p>
    <w:p>
      <w:pPr>
        <w:spacing w:before="100" w:after="60"/>
      </w:pPr>
      <w:r>
        <w:rPr>
          <w:rFonts w:ascii="Aptos Display" w:hAnsi="Aptos Display"/>
          <w:b/>
          <w:color w:val="24113B"/>
          <w:sz w:val="30"/>
        </w:rPr>
        <w:t>DATA ROOM: WHAT THE NUMBERS SHOW</w:t>
      </w:r>
    </w:p>
    <w:p>
      <w:r>
        <w:drawing>
          <wp:inline xmlns:a="http://schemas.openxmlformats.org/drawingml/2006/main" xmlns:pic="http://schemas.openxmlformats.org/drawingml/2006/picture">
            <wp:extent cx="6492240" cy="2921508"/>
            <wp:docPr id="2" name="Picture 2"/>
            <wp:cNvGraphicFramePr>
              <a:graphicFrameLocks noChangeAspect="1"/>
            </wp:cNvGraphicFramePr>
            <a:graphic>
              <a:graphicData uri="http://schemas.openxmlformats.org/drawingml/2006/picture">
                <pic:pic>
                  <pic:nvPicPr>
                    <pic:cNvPr id="0" name="tactical_5.png"/>
                    <pic:cNvPicPr/>
                  </pic:nvPicPr>
                  <pic:blipFill>
                    <a:blip r:embed="rId10"/>
                    <a:stretch>
                      <a:fillRect/>
                    </a:stretch>
                  </pic:blipFill>
                  <pic:spPr>
                    <a:xfrm>
                      <a:off x="0" y="0"/>
                      <a:ext cx="6492240" cy="2921508"/>
                    </a:xfrm>
                    <a:prstGeom prst="rect"/>
                  </pic:spPr>
                </pic:pic>
              </a:graphicData>
            </a:graphic>
          </wp:inline>
        </w:drawing>
      </w:r>
    </w:p>
    <w:p>
      <w:pPr>
        <w:spacing w:before="100" w:after="60"/>
      </w:pPr>
      <w:r>
        <w:rPr>
          <w:rFonts w:ascii="Aptos Display" w:hAnsi="Aptos Display"/>
          <w:b/>
          <w:color w:val="24113B"/>
          <w:sz w:val="26"/>
        </w:rPr>
        <w:t>MATCH EVIDENCE BOARD</w:t>
      </w:r>
    </w:p>
    <w:tbl>
      <w:tblPr>
        <w:tblStyle w:val="TableGrid"/>
        <w:tblW w:type="auto" w:w="0"/>
        <w:jc w:val="center"/>
        <w:tblLook w:firstColumn="1" w:firstRow="1" w:lastColumn="0" w:lastRow="0" w:noHBand="0" w:noVBand="1" w:val="04A0"/>
      </w:tblPr>
      <w:tblGrid>
        <w:gridCol w:w="3552"/>
        <w:gridCol w:w="3552"/>
        <w:gridCol w:w="3552"/>
      </w:tblGrid>
      <w:tr>
        <w:tc>
          <w:tcPr>
            <w:tcW w:type="dxa" w:w="3552"/>
            <w:shd w:fill="24113B"/>
            <w:vAlign w:val="center"/>
          </w:tcPr>
          <w:p>
            <w:pPr>
              <w:spacing w:after="0"/>
              <w:jc w:val="left"/>
            </w:pPr>
            <w:r/>
            <w:r>
              <w:rPr>
                <w:rFonts w:ascii="Aptos" w:hAnsi="Aptos"/>
                <w:b/>
                <w:color w:val="FFFFFF"/>
                <w:sz w:val="18"/>
              </w:rPr>
              <w:t>Evidence</w:t>
            </w:r>
          </w:p>
        </w:tc>
        <w:tc>
          <w:tcPr>
            <w:tcW w:type="dxa" w:w="3552"/>
            <w:shd w:fill="24113B"/>
            <w:vAlign w:val="center"/>
          </w:tcPr>
          <w:p>
            <w:pPr>
              <w:spacing w:after="0"/>
              <w:jc w:val="left"/>
            </w:pPr>
            <w:r/>
            <w:r>
              <w:rPr>
                <w:rFonts w:ascii="Aptos" w:hAnsi="Aptos"/>
                <w:b/>
                <w:color w:val="FFFFFF"/>
                <w:sz w:val="18"/>
              </w:rPr>
              <w:t>Recorded figure</w:t>
            </w:r>
          </w:p>
        </w:tc>
        <w:tc>
          <w:tcPr>
            <w:tcW w:type="dxa" w:w="3552"/>
            <w:shd w:fill="24113B"/>
            <w:vAlign w:val="center"/>
          </w:tcPr>
          <w:p>
            <w:pPr>
              <w:spacing w:after="0"/>
              <w:jc w:val="left"/>
            </w:pPr>
            <w:r/>
            <w:r>
              <w:rPr>
                <w:rFonts w:ascii="Aptos" w:hAnsi="Aptos"/>
                <w:b/>
                <w:color w:val="FFFFFF"/>
                <w:sz w:val="18"/>
              </w:rPr>
              <w:t>What it may suggest</w:t>
            </w:r>
          </w:p>
        </w:tc>
      </w:tr>
      <w:tr>
        <w:tc>
          <w:tcPr>
            <w:tcW w:type="dxa" w:w="3552"/>
            <w:vAlign w:val="center"/>
          </w:tcPr>
          <w:p>
            <w:pPr>
              <w:spacing w:after="0"/>
              <w:jc w:val="left"/>
            </w:pPr>
            <w:r/>
            <w:r>
              <w:rPr>
                <w:rFonts w:ascii="Aptos" w:hAnsi="Aptos"/>
                <w:b/>
                <w:color w:val="111111"/>
                <w:sz w:val="17"/>
              </w:rPr>
              <w:t>Final points</w:t>
            </w:r>
          </w:p>
        </w:tc>
        <w:tc>
          <w:tcPr>
            <w:tcW w:type="dxa" w:w="3552"/>
            <w:vAlign w:val="center"/>
          </w:tcPr>
          <w:p>
            <w:pPr>
              <w:spacing w:after="0"/>
              <w:jc w:val="left"/>
            </w:pPr>
            <w:r/>
            <w:r>
              <w:rPr>
                <w:rFonts w:ascii="Aptos" w:hAnsi="Aptos"/>
                <w:b/>
                <w:color w:val="E34B4B"/>
                <w:sz w:val="17"/>
              </w:rPr>
              <w:t>186-177 Ember</w:t>
            </w:r>
          </w:p>
        </w:tc>
        <w:tc>
          <w:tcPr>
            <w:tcW w:type="dxa" w:w="3552"/>
            <w:vAlign w:val="center"/>
          </w:tcPr>
          <w:p>
            <w:pPr>
              <w:spacing w:after="0"/>
              <w:jc w:val="left"/>
            </w:pPr>
            <w:r/>
            <w:r>
              <w:rPr>
                <w:rFonts w:ascii="Aptos" w:hAnsi="Aptos"/>
                <w:b w:val="0"/>
                <w:color w:val="40464D"/>
                <w:sz w:val="16"/>
              </w:rPr>
              <w:t>Ember won the event by nine points.</w:t>
            </w:r>
          </w:p>
        </w:tc>
      </w:tr>
      <w:tr>
        <w:tc>
          <w:tcPr>
            <w:tcW w:type="dxa" w:w="3552"/>
            <w:vAlign w:val="center"/>
          </w:tcPr>
          <w:p>
            <w:pPr>
              <w:spacing w:after="0"/>
              <w:jc w:val="left"/>
            </w:pPr>
            <w:r/>
            <w:r>
              <w:rPr>
                <w:rFonts w:ascii="Aptos" w:hAnsi="Aptos"/>
                <w:b/>
                <w:color w:val="111111"/>
                <w:sz w:val="17"/>
              </w:rPr>
              <w:t>Elimination points</w:t>
            </w:r>
          </w:p>
        </w:tc>
        <w:tc>
          <w:tcPr>
            <w:tcW w:type="dxa" w:w="3552"/>
            <w:vAlign w:val="center"/>
          </w:tcPr>
          <w:p>
            <w:pPr>
              <w:spacing w:after="0"/>
              <w:jc w:val="left"/>
            </w:pPr>
            <w:r/>
            <w:r>
              <w:rPr>
                <w:rFonts w:ascii="Aptos" w:hAnsi="Aptos"/>
                <w:b/>
                <w:color w:val="E34B4B"/>
                <w:sz w:val="17"/>
              </w:rPr>
              <w:t>Rift Wolves 81</w:t>
            </w:r>
          </w:p>
        </w:tc>
        <w:tc>
          <w:tcPr>
            <w:tcW w:type="dxa" w:w="3552"/>
            <w:vAlign w:val="center"/>
          </w:tcPr>
          <w:p>
            <w:pPr>
              <w:spacing w:after="0"/>
              <w:jc w:val="left"/>
            </w:pPr>
            <w:r/>
            <w:r>
              <w:rPr>
                <w:rFonts w:ascii="Aptos" w:hAnsi="Aptos"/>
                <w:b w:val="0"/>
                <w:color w:val="40464D"/>
                <w:sz w:val="16"/>
              </w:rPr>
              <w:t>The runners-up were more productive in eliminations.</w:t>
            </w:r>
          </w:p>
        </w:tc>
      </w:tr>
      <w:tr>
        <w:tc>
          <w:tcPr>
            <w:tcW w:type="dxa" w:w="3552"/>
            <w:vAlign w:val="center"/>
          </w:tcPr>
          <w:p>
            <w:pPr>
              <w:spacing w:after="0"/>
              <w:jc w:val="left"/>
            </w:pPr>
            <w:r/>
            <w:r>
              <w:rPr>
                <w:rFonts w:ascii="Aptos" w:hAnsi="Aptos"/>
                <w:b/>
                <w:color w:val="111111"/>
                <w:sz w:val="17"/>
              </w:rPr>
              <w:t>Placement points</w:t>
            </w:r>
          </w:p>
        </w:tc>
        <w:tc>
          <w:tcPr>
            <w:tcW w:type="dxa" w:w="3552"/>
            <w:vAlign w:val="center"/>
          </w:tcPr>
          <w:p>
            <w:pPr>
              <w:spacing w:after="0"/>
              <w:jc w:val="left"/>
            </w:pPr>
            <w:r/>
            <w:r>
              <w:rPr>
                <w:rFonts w:ascii="Aptos" w:hAnsi="Aptos"/>
                <w:b/>
                <w:color w:val="E34B4B"/>
                <w:sz w:val="17"/>
              </w:rPr>
              <w:t>Ember 117</w:t>
            </w:r>
          </w:p>
        </w:tc>
        <w:tc>
          <w:tcPr>
            <w:tcW w:type="dxa" w:w="3552"/>
            <w:vAlign w:val="center"/>
          </w:tcPr>
          <w:p>
            <w:pPr>
              <w:spacing w:after="0"/>
              <w:jc w:val="left"/>
            </w:pPr>
            <w:r/>
            <w:r>
              <w:rPr>
                <w:rFonts w:ascii="Aptos" w:hAnsi="Aptos"/>
                <w:b w:val="0"/>
                <w:color w:val="40464D"/>
                <w:sz w:val="16"/>
              </w:rPr>
              <w:t>Survival position supplied most of Ember’s advantage.</w:t>
            </w:r>
          </w:p>
        </w:tc>
      </w:tr>
      <w:tr>
        <w:tc>
          <w:tcPr>
            <w:tcW w:type="dxa" w:w="3552"/>
            <w:vAlign w:val="center"/>
          </w:tcPr>
          <w:p>
            <w:pPr>
              <w:spacing w:after="0"/>
              <w:jc w:val="left"/>
            </w:pPr>
            <w:r/>
            <w:r>
              <w:rPr>
                <w:rFonts w:ascii="Aptos" w:hAnsi="Aptos"/>
                <w:b/>
                <w:color w:val="111111"/>
                <w:sz w:val="17"/>
              </w:rPr>
              <w:t>Top-three finishes</w:t>
            </w:r>
          </w:p>
        </w:tc>
        <w:tc>
          <w:tcPr>
            <w:tcW w:type="dxa" w:w="3552"/>
            <w:vAlign w:val="center"/>
          </w:tcPr>
          <w:p>
            <w:pPr>
              <w:spacing w:after="0"/>
              <w:jc w:val="left"/>
            </w:pPr>
            <w:r/>
            <w:r>
              <w:rPr>
                <w:rFonts w:ascii="Aptos" w:hAnsi="Aptos"/>
                <w:b/>
                <w:color w:val="E34B4B"/>
                <w:sz w:val="17"/>
              </w:rPr>
              <w:t>6</w:t>
            </w:r>
          </w:p>
        </w:tc>
        <w:tc>
          <w:tcPr>
            <w:tcW w:type="dxa" w:w="3552"/>
            <w:vAlign w:val="center"/>
          </w:tcPr>
          <w:p>
            <w:pPr>
              <w:spacing w:after="0"/>
              <w:jc w:val="left"/>
            </w:pPr>
            <w:r/>
            <w:r>
              <w:rPr>
                <w:rFonts w:ascii="Aptos" w:hAnsi="Aptos"/>
                <w:b w:val="0"/>
                <w:color w:val="40464D"/>
                <w:sz w:val="16"/>
              </w:rPr>
              <w:t>Ember repeatedly reached the closing stages.</w:t>
            </w:r>
          </w:p>
        </w:tc>
      </w:tr>
    </w:tbl>
    <w:p>
      <w:pPr>
        <w:spacing w:before="100" w:after="60"/>
      </w:pPr>
      <w:r>
        <w:rPr>
          <w:rFonts w:ascii="Aptos Display" w:hAnsi="Aptos Display"/>
          <w:b/>
          <w:color w:val="24113B"/>
          <w:sz w:val="28"/>
        </w:rPr>
        <w:t>STUDENT INVESTIGATION: FACT OR INFERENCE?</w:t>
      </w:r>
    </w:p>
    <w:p>
      <w:pPr>
        <w:spacing w:after="100"/>
      </w:pPr>
      <w:r>
        <w:t>Read the report and inspect the data panels. A FACT is directly stated or shown in the evidence. An INFERENCE is a reasonable conclusion drawn from that evidence. Do not treat a confident-sounding sentence as fact unless the report proves it.</w:t>
      </w:r>
    </w:p>
    <w:tbl>
      <w:tblPr>
        <w:tblStyle w:val="TableGrid"/>
        <w:tblW w:type="auto" w:w="0"/>
        <w:jc w:val="center"/>
        <w:tblLook w:firstColumn="1" w:firstRow="1" w:lastColumn="0" w:lastRow="0" w:noHBand="0" w:noVBand="1" w:val="04A0"/>
      </w:tblPr>
      <w:tblGrid>
        <w:gridCol w:w="2664"/>
        <w:gridCol w:w="2664"/>
        <w:gridCol w:w="2664"/>
        <w:gridCol w:w="2664"/>
      </w:tblGrid>
      <w:tr>
        <w:tc>
          <w:tcPr>
            <w:tcW w:type="dxa" w:w="2664"/>
            <w:shd w:fill="0B1220"/>
            <w:vAlign w:val="center"/>
          </w:tcPr>
          <w:p>
            <w:pPr>
              <w:spacing w:after="0"/>
              <w:jc w:val="left"/>
            </w:pPr>
            <w:r/>
            <w:r>
              <w:rPr>
                <w:rFonts w:ascii="Aptos" w:hAnsi="Aptos"/>
                <w:b/>
                <w:color w:val="FFFFFF"/>
                <w:sz w:val="16"/>
              </w:rPr>
              <w:t>Statement</w:t>
            </w:r>
          </w:p>
        </w:tc>
        <w:tc>
          <w:tcPr>
            <w:tcW w:type="dxa" w:w="2664"/>
            <w:shd w:fill="0B1220"/>
            <w:vAlign w:val="center"/>
          </w:tcPr>
          <w:p>
            <w:pPr>
              <w:spacing w:after="0"/>
              <w:jc w:val="left"/>
            </w:pPr>
            <w:r/>
            <w:r>
              <w:rPr>
                <w:rFonts w:ascii="Aptos" w:hAnsi="Aptos"/>
                <w:b/>
                <w:color w:val="FFFFFF"/>
                <w:sz w:val="16"/>
              </w:rPr>
              <w:t>Fact / inference?</w:t>
            </w:r>
          </w:p>
        </w:tc>
        <w:tc>
          <w:tcPr>
            <w:tcW w:type="dxa" w:w="2664"/>
            <w:shd w:fill="0B1220"/>
            <w:vAlign w:val="center"/>
          </w:tcPr>
          <w:p>
            <w:pPr>
              <w:spacing w:after="0"/>
              <w:jc w:val="left"/>
            </w:pPr>
            <w:r/>
            <w:r>
              <w:rPr>
                <w:rFonts w:ascii="Aptos" w:hAnsi="Aptos"/>
                <w:b/>
                <w:color w:val="FFFFFF"/>
                <w:sz w:val="16"/>
              </w:rPr>
              <w:t>Evidence you used</w:t>
            </w:r>
          </w:p>
        </w:tc>
        <w:tc>
          <w:tcPr>
            <w:tcW w:type="dxa" w:w="2664"/>
            <w:shd w:fill="0B1220"/>
            <w:vAlign w:val="center"/>
          </w:tcPr>
          <w:p>
            <w:pPr>
              <w:spacing w:after="0"/>
              <w:jc w:val="left"/>
            </w:pPr>
            <w:r/>
            <w:r>
              <w:rPr>
                <w:rFonts w:ascii="Aptos" w:hAnsi="Aptos"/>
                <w:b/>
                <w:color w:val="FFFFFF"/>
                <w:sz w:val="16"/>
              </w:rPr>
              <w:t>How certain are you?</w:t>
            </w:r>
          </w:p>
        </w:tc>
      </w:tr>
      <w:tr>
        <w:tc>
          <w:tcPr>
            <w:tcW w:type="dxa" w:w="2664"/>
            <w:vAlign w:val="center"/>
          </w:tcPr>
          <w:p>
            <w:pPr>
              <w:spacing w:after="0"/>
              <w:jc w:val="left"/>
            </w:pPr>
            <w:r/>
            <w:r>
              <w:rPr>
                <w:rFonts w:ascii="Aptos" w:hAnsi="Aptos"/>
                <w:b w:val="0"/>
                <w:color w:val="111111"/>
                <w:sz w:val="16"/>
              </w:rPr>
              <w:t>Ember Crew won by nine points.</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Rift Wolves were the more aggressive team.</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Ember had fewer elimination points.</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Ember’s strategy prioritised consistency.</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Rift Wolves were reckless.</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Ember reached the final eight in ten matches.</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Match 11 was important to the final points gap.</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r>
        <w:tc>
          <w:tcPr>
            <w:tcW w:type="dxa" w:w="2664"/>
            <w:vAlign w:val="center"/>
          </w:tcPr>
          <w:p>
            <w:pPr>
              <w:spacing w:after="0"/>
              <w:jc w:val="left"/>
            </w:pPr>
            <w:r/>
            <w:r>
              <w:rPr>
                <w:rFonts w:ascii="Aptos" w:hAnsi="Aptos"/>
                <w:b w:val="0"/>
                <w:color w:val="111111"/>
                <w:sz w:val="16"/>
              </w:rPr>
              <w:t>Ember would have lost under an elimination-only scoring system.</w:t>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c>
          <w:tcPr>
            <w:tcW w:type="dxa" w:w="2664"/>
            <w:vAlign w:val="center"/>
          </w:tcPr>
          <w:p>
            <w:pPr>
              <w:spacing w:after="0"/>
              <w:jc w:val="left"/>
            </w:pPr>
            <w:r/>
            <w:r>
              <w:rPr>
                <w:rFonts w:ascii="Aptos" w:hAnsi="Aptos"/>
                <w:b w:val="0"/>
                <w:color w:val="111111"/>
                <w:sz w:val="16"/>
              </w:rPr>
            </w:r>
          </w:p>
        </w:tc>
      </w:tr>
    </w:tbl>
    <w:p>
      <w:pPr>
        <w:spacing w:before="120" w:after="0"/>
      </w:pPr>
      <w:r>
        <w:rPr>
          <w:b/>
          <w:color w:val="24113B"/>
          <w:sz w:val="18"/>
        </w:rPr>
        <w:t>EXTENSION: Write a 120-150 word analyst paragraph explaining which team appears stronger overall. Use at least three facts, label two inferences, and include one alternative interpretation of the data.</w:t>
      </w:r>
    </w:p>
    <w:p>
      <w:pPr>
        <w:jc w:val="center"/>
      </w:pPr>
      <w:r>
        <w:rPr>
          <w:color w:val="777777"/>
          <w:sz w:val="14"/>
        </w:rPr>
        <w:t>Classroom simulation: teams, tournaments and game data in this report are fictional but designed to mirror professional esports reporting conventions.</w:t>
      </w:r>
    </w:p>
    <w:sectPr w:rsidR="00FC693F" w:rsidRPr="0006063C" w:rsidSect="00034616">
      <w:pgSz w:w="12240" w:h="15840"/>
      <w:pgMar w:top="648" w:right="792" w:bottom="648"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