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Is esports a sport?</w:t>
      </w:r>
    </w:p>
    <w:p>
      <w:pPr>
        <w:spacing w:after="260"/>
      </w:pPr>
      <w:r>
        <w:rPr>
          <w:color w:val="657586"/>
          <w:sz w:val="20"/>
        </w:rPr>
        <w:t>STUDENT WORKBOOK  |  Two contrasting opinions  |  120-minute guided lesson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10166"/>
      </w:tblGrid>
      <w:tr>
        <w:tc>
          <w:tcPr>
            <w:tcW w:type="dxa" w:w="10166"/>
            <w:shd w:fill="EDF5F6"/>
            <w:tcMar>
              <w:top w:w="130" w:type="dxa"/>
              <w:left w:w="130" w:type="dxa"/>
              <w:bottom w:w="130" w:type="dxa"/>
              <w:right w:w="130" w:type="dxa"/>
            </w:tcMar>
            <w:tcBorders>
              <w:top w:val="single" w:sz="5" w:color="D6E1E8"/>
              <w:left w:val="single" w:sz="5" w:color="D6E1E8"/>
              <w:bottom w:val="single" w:sz="5" w:color="D6E1E8"/>
              <w:right w:val="single" w:sz="5" w:color="D6E1E8"/>
            </w:tcBorders>
          </w:tcPr>
          <w:p>
            <w:pPr>
              <w:spacing w:after="0"/>
            </w:pPr>
            <w:r>
              <w:rPr>
                <w:b/>
              </w:rPr>
              <w:t xml:space="preserve">The question  </w:t>
            </w:r>
            <w:r>
              <w:t>Should organised competitive gaming be classified as sport? There is no single answer you must agree with; marks come from close reading and clear explanation.</w:t>
            </w:r>
          </w:p>
        </w:tc>
      </w:tr>
    </w:tbl>
    <w:p>
      <w:pPr>
        <w:spacing w:after="0"/>
      </w:pPr>
    </w:p>
    <w:p>
      <w:pPr>
        <w:pStyle w:val="Heading1"/>
      </w:pPr>
      <w:r>
        <w:t>What you will do</w:t>
      </w:r>
    </w:p>
    <w:p>
      <w:pPr>
        <w:ind w:left="245" w:hanging="216"/>
      </w:pPr>
      <w:r>
        <w:rPr>
          <w:b/>
        </w:rPr>
        <w:t xml:space="preserve">1. </w:t>
      </w:r>
      <w:r>
        <w:t>Listen to the student-led neutral briefing and note the difference between the two writers.</w:t>
      </w:r>
    </w:p>
    <w:p>
      <w:pPr>
        <w:ind w:left="245" w:hanging="216"/>
      </w:pPr>
      <w:r>
        <w:rPr>
          <w:b/>
        </w:rPr>
        <w:t xml:space="preserve">2. </w:t>
      </w:r>
      <w:r>
        <w:t>Read both articles and annotate their central claims, evidence, language and assumptions.</w:t>
      </w:r>
    </w:p>
    <w:p>
      <w:pPr>
        <w:ind w:left="245" w:hanging="216"/>
      </w:pPr>
      <w:r>
        <w:rPr>
          <w:b/>
        </w:rPr>
        <w:t xml:space="preserve">3. </w:t>
      </w:r>
      <w:r>
        <w:t>Compare how each writer presents a position and attempts to persuade a reader.</w:t>
      </w:r>
    </w:p>
    <w:p>
      <w:pPr>
        <w:ind w:left="245" w:hanging="216"/>
      </w:pPr>
      <w:r>
        <w:rPr>
          <w:b/>
        </w:rPr>
        <w:t xml:space="preserve">4. </w:t>
      </w:r>
      <w:r>
        <w:t>Test selected claims in the Evidence Tribunal: what can you actually verify from the source?</w:t>
      </w:r>
    </w:p>
    <w:p>
      <w:pPr>
        <w:ind w:left="245" w:hanging="216"/>
      </w:pPr>
      <w:r>
        <w:rPr>
          <w:b/>
        </w:rPr>
        <w:t xml:space="preserve">5. </w:t>
      </w:r>
      <w:r>
        <w:t>Write a comparative paragraph using direct references to both texts, then record your own justified view.</w:t>
      </w:r>
    </w:p>
    <w:p>
      <w:pPr>
        <w:pStyle w:val="Heading2"/>
      </w:pPr>
      <w:r>
        <w:t>Our two-hour plan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194560"/>
        <w:gridCol w:w="640080"/>
        <w:gridCol w:w="3566160"/>
      </w:tblGrid>
      <w:tr>
        <w:trPr>
          <w:tblHeader/>
        </w:trPr>
        <w:tc>
          <w:tcPr>
            <w:tcW w:type="dxa" w:w="3456"/>
            <w:shd w:fill="17324D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r>
              <w:rPr>
                <w:b/>
                <w:color w:val="FFFFFF"/>
                <w:sz w:val="18"/>
              </w:rPr>
              <w:t>Stage</w:t>
            </w:r>
          </w:p>
        </w:tc>
        <w:tc>
          <w:tcPr>
            <w:tcW w:type="dxa" w:w="1008"/>
            <w:shd w:fill="17324D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r>
              <w:rPr>
                <w:b/>
                <w:color w:val="FFFFFF"/>
                <w:sz w:val="18"/>
              </w:rPr>
              <w:t>Minutes</w:t>
            </w:r>
          </w:p>
        </w:tc>
        <w:tc>
          <w:tcPr>
            <w:tcW w:type="dxa" w:w="5616"/>
            <w:shd w:fill="17324D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r>
              <w:rPr>
                <w:b/>
                <w:color w:val="FFFFFF"/>
                <w:sz w:val="18"/>
              </w:rPr>
              <w:t>Your evidence of completion</w:t>
            </w:r>
          </w:p>
        </w:tc>
      </w:tr>
      <w:tr>
        <w:trPr>
          <w:cantSplit/>
        </w:trPr>
        <w:tc>
          <w:tcPr>
            <w:tcW w:type="dxa" w:w="3456"/>
            <w:vAlign w:val="top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20"/>
            </w:pPr>
            <w:r>
              <w:rPr>
                <w:sz w:val="18"/>
              </w:rPr>
              <w:t>Briefing and quick notes</w:t>
            </w:r>
          </w:p>
        </w:tc>
        <w:tc>
          <w:tcPr>
            <w:tcW w:type="dxa" w:w="1008"/>
            <w:vAlign w:val="top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20"/>
            </w:pPr>
            <w:r>
              <w:rPr>
                <w:sz w:val="18"/>
              </w:rPr>
              <w:t>10</w:t>
            </w:r>
          </w:p>
        </w:tc>
        <w:tc>
          <w:tcPr>
            <w:tcW w:type="dxa" w:w="5616"/>
            <w:vAlign w:val="top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20"/>
            </w:pPr>
            <w:r>
              <w:rPr>
                <w:sz w:val="18"/>
              </w:rPr>
              <w:t>One-sentence summary of each view</w:t>
            </w:r>
          </w:p>
        </w:tc>
      </w:tr>
      <w:tr>
        <w:trPr>
          <w:cantSplit/>
        </w:trPr>
        <w:tc>
          <w:tcPr>
            <w:tcW w:type="dxa" w:w="3456"/>
            <w:vAlign w:val="top"/>
            <w:tcMar>
              <w:top w:w="85" w:type="dxa"/>
              <w:left w:w="85" w:type="dxa"/>
              <w:bottom w:w="85" w:type="dxa"/>
              <w:right w:w="85" w:type="dxa"/>
            </w:tcMar>
            <w:shd w:fill="EFF3F8"/>
          </w:tcPr>
          <w:p>
            <w:pPr>
              <w:spacing w:after="20"/>
            </w:pPr>
            <w:r>
              <w:rPr>
                <w:sz w:val="18"/>
              </w:rPr>
              <w:t>Close reading / source map</w:t>
            </w:r>
          </w:p>
        </w:tc>
        <w:tc>
          <w:tcPr>
            <w:tcW w:type="dxa" w:w="1008"/>
            <w:vAlign w:val="top"/>
            <w:tcMar>
              <w:top w:w="85" w:type="dxa"/>
              <w:left w:w="85" w:type="dxa"/>
              <w:bottom w:w="85" w:type="dxa"/>
              <w:right w:w="85" w:type="dxa"/>
            </w:tcMar>
            <w:shd w:fill="EFF3F8"/>
          </w:tcPr>
          <w:p>
            <w:pPr>
              <w:spacing w:after="20"/>
            </w:pPr>
            <w:r>
              <w:rPr>
                <w:sz w:val="18"/>
              </w:rPr>
              <w:t>30</w:t>
            </w:r>
          </w:p>
        </w:tc>
        <w:tc>
          <w:tcPr>
            <w:tcW w:type="dxa" w:w="5616"/>
            <w:vAlign w:val="top"/>
            <w:tcMar>
              <w:top w:w="85" w:type="dxa"/>
              <w:left w:w="85" w:type="dxa"/>
              <w:bottom w:w="85" w:type="dxa"/>
              <w:right w:w="85" w:type="dxa"/>
            </w:tcMar>
            <w:shd w:fill="EFF3F8"/>
          </w:tcPr>
          <w:p>
            <w:pPr>
              <w:spacing w:after="20"/>
            </w:pPr>
            <w:r>
              <w:rPr>
                <w:sz w:val="18"/>
              </w:rPr>
              <w:t>Annotated Articles A and B</w:t>
            </w:r>
          </w:p>
        </w:tc>
      </w:tr>
      <w:tr>
        <w:trPr>
          <w:cantSplit/>
        </w:trPr>
        <w:tc>
          <w:tcPr>
            <w:tcW w:type="dxa" w:w="3456"/>
            <w:vAlign w:val="top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20"/>
            </w:pPr>
            <w:r>
              <w:rPr>
                <w:sz w:val="18"/>
              </w:rPr>
              <w:t>Compare ideas and methods</w:t>
            </w:r>
          </w:p>
        </w:tc>
        <w:tc>
          <w:tcPr>
            <w:tcW w:type="dxa" w:w="1008"/>
            <w:vAlign w:val="top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20"/>
            </w:pPr>
            <w:r>
              <w:rPr>
                <w:sz w:val="18"/>
              </w:rPr>
              <w:t>25</w:t>
            </w:r>
          </w:p>
        </w:tc>
        <w:tc>
          <w:tcPr>
            <w:tcW w:type="dxa" w:w="5616"/>
            <w:vAlign w:val="top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20"/>
            </w:pPr>
            <w:r>
              <w:rPr>
                <w:sz w:val="18"/>
              </w:rPr>
              <w:t>Comparison grid with quotations</w:t>
            </w:r>
          </w:p>
        </w:tc>
      </w:tr>
      <w:tr>
        <w:trPr>
          <w:cantSplit/>
        </w:trPr>
        <w:tc>
          <w:tcPr>
            <w:tcW w:type="dxa" w:w="3456"/>
            <w:vAlign w:val="top"/>
            <w:tcMar>
              <w:top w:w="85" w:type="dxa"/>
              <w:left w:w="85" w:type="dxa"/>
              <w:bottom w:w="85" w:type="dxa"/>
              <w:right w:w="85" w:type="dxa"/>
            </w:tcMar>
            <w:shd w:fill="EFF3F8"/>
          </w:tcPr>
          <w:p>
            <w:pPr>
              <w:spacing w:after="20"/>
            </w:pPr>
            <w:r>
              <w:rPr>
                <w:sz w:val="18"/>
              </w:rPr>
              <w:t>Evidence Tribunal</w:t>
            </w:r>
          </w:p>
        </w:tc>
        <w:tc>
          <w:tcPr>
            <w:tcW w:type="dxa" w:w="1008"/>
            <w:vAlign w:val="top"/>
            <w:tcMar>
              <w:top w:w="85" w:type="dxa"/>
              <w:left w:w="85" w:type="dxa"/>
              <w:bottom w:w="85" w:type="dxa"/>
              <w:right w:w="85" w:type="dxa"/>
            </w:tcMar>
            <w:shd w:fill="EFF3F8"/>
          </w:tcPr>
          <w:p>
            <w:pPr>
              <w:spacing w:after="20"/>
            </w:pPr>
            <w:r>
              <w:rPr>
                <w:sz w:val="18"/>
              </w:rPr>
              <w:t>20</w:t>
            </w:r>
          </w:p>
        </w:tc>
        <w:tc>
          <w:tcPr>
            <w:tcW w:type="dxa" w:w="5616"/>
            <w:vAlign w:val="top"/>
            <w:tcMar>
              <w:top w:w="85" w:type="dxa"/>
              <w:left w:w="85" w:type="dxa"/>
              <w:bottom w:w="85" w:type="dxa"/>
              <w:right w:w="85" w:type="dxa"/>
            </w:tcMar>
            <w:shd w:fill="EFF3F8"/>
          </w:tcPr>
          <w:p>
            <w:pPr>
              <w:spacing w:after="20"/>
            </w:pPr>
            <w:r>
              <w:rPr>
                <w:sz w:val="18"/>
              </w:rPr>
              <w:t>Claim ratings with explanations</w:t>
            </w:r>
          </w:p>
        </w:tc>
      </w:tr>
      <w:tr>
        <w:trPr>
          <w:cantSplit/>
        </w:trPr>
        <w:tc>
          <w:tcPr>
            <w:tcW w:type="dxa" w:w="3456"/>
            <w:vAlign w:val="top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20"/>
            </w:pPr>
            <w:r>
              <w:rPr>
                <w:sz w:val="18"/>
              </w:rPr>
              <w:t>Comparative writing</w:t>
            </w:r>
          </w:p>
        </w:tc>
        <w:tc>
          <w:tcPr>
            <w:tcW w:type="dxa" w:w="1008"/>
            <w:vAlign w:val="top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20"/>
            </w:pPr>
            <w:r>
              <w:rPr>
                <w:sz w:val="18"/>
              </w:rPr>
              <w:t>25</w:t>
            </w:r>
          </w:p>
        </w:tc>
        <w:tc>
          <w:tcPr>
            <w:tcW w:type="dxa" w:w="5616"/>
            <w:vAlign w:val="top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20"/>
            </w:pPr>
            <w:r>
              <w:rPr>
                <w:sz w:val="18"/>
              </w:rPr>
              <w:t>Evidence-led paragraph / mini-response</w:t>
            </w:r>
          </w:p>
        </w:tc>
      </w:tr>
      <w:tr>
        <w:trPr>
          <w:cantSplit/>
        </w:trPr>
        <w:tc>
          <w:tcPr>
            <w:tcW w:type="dxa" w:w="3456"/>
            <w:vAlign w:val="top"/>
            <w:tcMar>
              <w:top w:w="85" w:type="dxa"/>
              <w:left w:w="85" w:type="dxa"/>
              <w:bottom w:w="85" w:type="dxa"/>
              <w:right w:w="85" w:type="dxa"/>
            </w:tcMar>
            <w:shd w:fill="EFF3F8"/>
          </w:tcPr>
          <w:p>
            <w:pPr>
              <w:spacing w:after="20"/>
            </w:pPr>
            <w:r>
              <w:rPr>
                <w:sz w:val="18"/>
              </w:rPr>
              <w:t>Exit poll and reflection</w:t>
            </w:r>
          </w:p>
        </w:tc>
        <w:tc>
          <w:tcPr>
            <w:tcW w:type="dxa" w:w="1008"/>
            <w:vAlign w:val="top"/>
            <w:tcMar>
              <w:top w:w="85" w:type="dxa"/>
              <w:left w:w="85" w:type="dxa"/>
              <w:bottom w:w="85" w:type="dxa"/>
              <w:right w:w="85" w:type="dxa"/>
            </w:tcMar>
            <w:shd w:fill="EFF3F8"/>
          </w:tcPr>
          <w:p>
            <w:pPr>
              <w:spacing w:after="20"/>
            </w:pPr>
            <w:r>
              <w:rPr>
                <w:sz w:val="18"/>
              </w:rPr>
              <w:t>10</w:t>
            </w:r>
          </w:p>
        </w:tc>
        <w:tc>
          <w:tcPr>
            <w:tcW w:type="dxa" w:w="5616"/>
            <w:vAlign w:val="top"/>
            <w:tcMar>
              <w:top w:w="85" w:type="dxa"/>
              <w:left w:w="85" w:type="dxa"/>
              <w:bottom w:w="85" w:type="dxa"/>
              <w:right w:w="85" w:type="dxa"/>
            </w:tcMar>
            <w:shd w:fill="EFF3F8"/>
          </w:tcPr>
          <w:p>
            <w:pPr>
              <w:spacing w:after="20"/>
            </w:pPr>
            <w:r>
              <w:rPr>
                <w:sz w:val="18"/>
              </w:rPr>
              <w:t>Personal view, reason and target</w:t>
            </w:r>
          </w:p>
        </w:tc>
      </w:tr>
    </w:tbl>
    <w:p>
      <w:pPr>
        <w:spacing w:after="0"/>
      </w:pPr>
    </w:p>
    <w:p>
      <w:pPr>
        <w:pStyle w:val="Heading2"/>
      </w:pPr>
      <w:r>
        <w:t>What you will hand in</w:t>
      </w:r>
    </w:p>
    <w:p>
      <w:r>
        <w:t>Annotated source booklet; comparison grid; Evidence Tribunal rating sheet; comparative response; exit poll.</w:t>
      </w:r>
    </w:p>
    <w:p>
      <w:pPr>
        <w:spacing w:after="120"/>
      </w:pPr>
      <w:r>
        <w:rPr>
          <w:color w:val="657586"/>
          <w:sz w:val="18"/>
        </w:rPr>
        <w:t>AQA English Language 8700: AO1 identifying and interpreting viewpoints, AO3 comparing writers’ ideas and perspectives and how they are conveyed, AO4 critical evaluation. These are newly written modern practice texts, not an official Paper 2 cross-period pair.</w:t>
      </w:r>
    </w:p>
    <w:p>
      <w:r>
        <w:br w:type="page"/>
      </w:r>
    </w:p>
    <w:p>
      <w:pPr>
        <w:pStyle w:val="Heading1"/>
      </w:pPr>
      <w:r>
        <w:t>1  •  Listen to the neutral briefing  /  10 minutes</w:t>
      </w:r>
    </w:p>
    <w:p>
      <w:r>
        <w:t>Do not begin by deciding who is right. First understand what each writer is trying to establish.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200400"/>
        <w:gridCol w:w="3200400"/>
      </w:tblGrid>
      <w:tr>
        <w:trPr>
          <w:tblHeader/>
        </w:trPr>
        <w:tc>
          <w:tcPr>
            <w:tcW w:type="dxa" w:w="5040"/>
            <w:shd w:fill="17324D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r>
              <w:rPr>
                <w:b/>
                <w:color w:val="FFFFFF"/>
                <w:sz w:val="18"/>
              </w:rPr>
              <w:t>Writer A: A. Karim</w:t>
            </w:r>
          </w:p>
        </w:tc>
        <w:tc>
          <w:tcPr>
            <w:tcW w:type="dxa" w:w="5040"/>
            <w:shd w:fill="17324D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r>
              <w:rPr>
                <w:b/>
                <w:color w:val="FFFFFF"/>
                <w:sz w:val="18"/>
              </w:rPr>
              <w:t>Writer B: J. Morgan</w:t>
            </w:r>
          </w:p>
        </w:tc>
      </w:tr>
      <w:tr>
        <w:trPr>
          <w:cantSplit/>
        </w:trPr>
        <w:tc>
          <w:tcPr>
            <w:tcW w:type="dxa" w:w="5040"/>
            <w:vAlign w:val="top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20"/>
            </w:pPr>
            <w:r>
              <w:rPr>
                <w:sz w:val="18"/>
              </w:rPr>
              <w:t>The main argument in one sentence:</w:t>
              <w:br/>
              <w:br/>
              <w:br/>
            </w:r>
          </w:p>
        </w:tc>
        <w:tc>
          <w:tcPr>
            <w:tcW w:type="dxa" w:w="5040"/>
            <w:vAlign w:val="top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20"/>
            </w:pPr>
            <w:r>
              <w:rPr>
                <w:sz w:val="18"/>
              </w:rPr>
              <w:t>The main argument in one sentence:</w:t>
              <w:br/>
              <w:br/>
              <w:br/>
            </w:r>
          </w:p>
        </w:tc>
      </w:tr>
      <w:tr>
        <w:trPr>
          <w:cantSplit/>
        </w:trPr>
        <w:tc>
          <w:tcPr>
            <w:tcW w:type="dxa" w:w="5040"/>
            <w:vAlign w:val="top"/>
            <w:tcMar>
              <w:top w:w="85" w:type="dxa"/>
              <w:left w:w="85" w:type="dxa"/>
              <w:bottom w:w="85" w:type="dxa"/>
              <w:right w:w="85" w:type="dxa"/>
            </w:tcMar>
            <w:shd w:fill="EFF3F8"/>
          </w:tcPr>
          <w:p>
            <w:pPr>
              <w:spacing w:after="20"/>
            </w:pPr>
            <w:r>
              <w:rPr>
                <w:sz w:val="18"/>
              </w:rPr>
              <w:t>One reason or example:</w:t>
              <w:br/>
              <w:br/>
            </w:r>
          </w:p>
        </w:tc>
        <w:tc>
          <w:tcPr>
            <w:tcW w:type="dxa" w:w="5040"/>
            <w:vAlign w:val="top"/>
            <w:tcMar>
              <w:top w:w="85" w:type="dxa"/>
              <w:left w:w="85" w:type="dxa"/>
              <w:bottom w:w="85" w:type="dxa"/>
              <w:right w:w="85" w:type="dxa"/>
            </w:tcMar>
            <w:shd w:fill="EFF3F8"/>
          </w:tcPr>
          <w:p>
            <w:pPr>
              <w:spacing w:after="20"/>
            </w:pPr>
            <w:r>
              <w:rPr>
                <w:sz w:val="18"/>
              </w:rPr>
              <w:t>One reason or example:</w:t>
              <w:br/>
              <w:br/>
            </w:r>
          </w:p>
        </w:tc>
      </w:tr>
    </w:tbl>
    <w:p>
      <w:pPr>
        <w:spacing w:after="0"/>
      </w:pPr>
    </w:p>
    <w:p>
      <w:r>
        <w:t>Before reading, explain this distinction: a writer’s claim is not automatically a verified fact.</w:t>
      </w:r>
    </w:p>
    <w:p>
      <w:pPr>
        <w:spacing w:after="0" w:line="240" w:lineRule="auto"/>
      </w:pPr>
      <w:r>
        <w:rPr>
          <w:color w:val="D2E0E5"/>
          <w:sz w:val="18"/>
        </w:rPr>
        <w:t>________________________________________________________________________________</w:t>
      </w:r>
    </w:p>
    <w:p>
      <w:pPr>
        <w:spacing w:after="0" w:line="240" w:lineRule="auto"/>
      </w:pPr>
      <w:r>
        <w:rPr>
          <w:color w:val="D2E0E5"/>
          <w:sz w:val="18"/>
        </w:rPr>
        <w:t>________________________________________________________________________________</w:t>
      </w:r>
    </w:p>
    <w:p>
      <w:pPr>
        <w:pStyle w:val="Heading1"/>
      </w:pPr>
      <w:r>
        <w:t>2  •  Read, annotate, interpret  /  30 minutes</w:t>
      </w:r>
    </w:p>
    <w:p>
      <w:r>
        <w:t>Open “02_Paired_Opinion_Articles”. For each article:</w:t>
      </w:r>
    </w:p>
    <w:p>
      <w:pPr>
        <w:ind w:left="245" w:hanging="216"/>
      </w:pPr>
      <w:r>
        <w:rPr>
          <w:b/>
        </w:rPr>
        <w:t xml:space="preserve">1. </w:t>
      </w:r>
      <w:r>
        <w:t>Draw a box around the sentence that best expresses its central viewpoint.</w:t>
      </w:r>
    </w:p>
    <w:p>
      <w:pPr>
        <w:ind w:left="245" w:hanging="216"/>
      </w:pPr>
      <w:r>
        <w:rPr>
          <w:b/>
        </w:rPr>
        <w:t xml:space="preserve">2. </w:t>
      </w:r>
      <w:r>
        <w:t>Underline two reasons or examples offered in support of that viewpoint.</w:t>
      </w:r>
    </w:p>
    <w:p>
      <w:pPr>
        <w:ind w:left="245" w:hanging="216"/>
      </w:pPr>
      <w:r>
        <w:rPr>
          <w:b/>
        </w:rPr>
        <w:t xml:space="preserve">3. </w:t>
      </w:r>
      <w:r>
        <w:t>Circle three words, phrases or techniques that influence the reader.</w:t>
      </w:r>
    </w:p>
    <w:p>
      <w:pPr>
        <w:ind w:left="245" w:hanging="216"/>
      </w:pPr>
      <w:r>
        <w:rPr>
          <w:b/>
        </w:rPr>
        <w:t xml:space="preserve">4. </w:t>
      </w:r>
      <w:r>
        <w:t>Mark one assumption with a ? and identify a point that needs outside evidence.</w:t>
      </w:r>
    </w:p>
    <w:p>
      <w:pPr>
        <w:ind w:left="245" w:hanging="216"/>
      </w:pPr>
      <w:r>
        <w:rPr>
          <w:b/>
        </w:rPr>
        <w:t xml:space="preserve">5. </w:t>
      </w:r>
      <w:r>
        <w:t>Put a star beside any concession (a point the writer admits about the other side).</w:t>
      </w:r>
    </w:p>
    <w:p>
      <w:pPr>
        <w:pStyle w:val="Heading2"/>
      </w:pPr>
      <w:r>
        <w:t>Reading record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828800"/>
        <w:gridCol w:w="2286000"/>
        <w:gridCol w:w="2286000"/>
      </w:tblGrid>
      <w:tr>
        <w:trPr>
          <w:tblHeader/>
        </w:trPr>
        <w:tc>
          <w:tcPr>
            <w:tcW w:type="dxa" w:w="2880"/>
            <w:shd w:fill="17324D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r>
              <w:rPr>
                <w:b/>
                <w:color w:val="FFFFFF"/>
                <w:sz w:val="18"/>
              </w:rPr>
              <w:t>Question</w:t>
            </w:r>
          </w:p>
        </w:tc>
        <w:tc>
          <w:tcPr>
            <w:tcW w:type="dxa" w:w="3600"/>
            <w:shd w:fill="17324D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r>
              <w:rPr>
                <w:b/>
                <w:color w:val="FFFFFF"/>
                <w:sz w:val="18"/>
              </w:rPr>
              <w:t>A  •  Recognition</w:t>
            </w:r>
          </w:p>
        </w:tc>
        <w:tc>
          <w:tcPr>
            <w:tcW w:type="dxa" w:w="3600"/>
            <w:shd w:fill="17324D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r>
              <w:rPr>
                <w:b/>
                <w:color w:val="FFFFFF"/>
                <w:sz w:val="18"/>
              </w:rPr>
              <w:t>B  •  Separate category</w:t>
            </w:r>
          </w:p>
        </w:tc>
      </w:tr>
      <w:tr>
        <w:trPr>
          <w:cantSplit/>
        </w:trPr>
        <w:tc>
          <w:tcPr>
            <w:tcW w:type="dxa" w:w="2880"/>
            <w:vAlign w:val="top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20"/>
            </w:pPr>
            <w:r>
              <w:rPr>
                <w:sz w:val="18"/>
              </w:rPr>
              <w:t>Main conclusion</w:t>
            </w:r>
          </w:p>
        </w:tc>
        <w:tc>
          <w:tcPr>
            <w:tcW w:type="dxa" w:w="3600"/>
            <w:vAlign w:val="top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20"/>
            </w:pPr>
            <w:r>
              <w:rPr>
                <w:sz w:val="18"/>
              </w:rPr>
              <w:br/>
            </w:r>
          </w:p>
        </w:tc>
        <w:tc>
          <w:tcPr>
            <w:tcW w:type="dxa" w:w="3600"/>
            <w:vAlign w:val="top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20"/>
            </w:pPr>
            <w:r>
              <w:rPr>
                <w:sz w:val="18"/>
              </w:rPr>
              <w:br/>
            </w:r>
          </w:p>
        </w:tc>
      </w:tr>
      <w:tr>
        <w:trPr>
          <w:cantSplit/>
        </w:trPr>
        <w:tc>
          <w:tcPr>
            <w:tcW w:type="dxa" w:w="2880"/>
            <w:vAlign w:val="top"/>
            <w:tcMar>
              <w:top w:w="85" w:type="dxa"/>
              <w:left w:w="85" w:type="dxa"/>
              <w:bottom w:w="85" w:type="dxa"/>
              <w:right w:w="85" w:type="dxa"/>
            </w:tcMar>
            <w:shd w:fill="EFF3F8"/>
          </w:tcPr>
          <w:p>
            <w:pPr>
              <w:spacing w:after="20"/>
            </w:pPr>
            <w:r>
              <w:rPr>
                <w:sz w:val="18"/>
              </w:rPr>
              <w:t>Quoted phrase that reveals attitude</w:t>
            </w:r>
          </w:p>
        </w:tc>
        <w:tc>
          <w:tcPr>
            <w:tcW w:type="dxa" w:w="3600"/>
            <w:vAlign w:val="top"/>
            <w:tcMar>
              <w:top w:w="85" w:type="dxa"/>
              <w:left w:w="85" w:type="dxa"/>
              <w:bottom w:w="85" w:type="dxa"/>
              <w:right w:w="85" w:type="dxa"/>
            </w:tcMar>
            <w:shd w:fill="EFF3F8"/>
          </w:tcPr>
          <w:p>
            <w:pPr>
              <w:spacing w:after="20"/>
            </w:pPr>
            <w:r>
              <w:rPr>
                <w:sz w:val="18"/>
              </w:rPr>
              <w:br/>
            </w:r>
          </w:p>
        </w:tc>
        <w:tc>
          <w:tcPr>
            <w:tcW w:type="dxa" w:w="3600"/>
            <w:vAlign w:val="top"/>
            <w:tcMar>
              <w:top w:w="85" w:type="dxa"/>
              <w:left w:w="85" w:type="dxa"/>
              <w:bottom w:w="85" w:type="dxa"/>
              <w:right w:w="85" w:type="dxa"/>
            </w:tcMar>
            <w:shd w:fill="EFF3F8"/>
          </w:tcPr>
          <w:p>
            <w:pPr>
              <w:spacing w:after="20"/>
            </w:pPr>
            <w:r>
              <w:rPr>
                <w:sz w:val="18"/>
              </w:rPr>
              <w:br/>
            </w:r>
          </w:p>
        </w:tc>
      </w:tr>
      <w:tr>
        <w:trPr>
          <w:cantSplit/>
        </w:trPr>
        <w:tc>
          <w:tcPr>
            <w:tcW w:type="dxa" w:w="2880"/>
            <w:vAlign w:val="top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20"/>
            </w:pPr>
            <w:r>
              <w:rPr>
                <w:sz w:val="18"/>
              </w:rPr>
              <w:t>Concession or qualification</w:t>
            </w:r>
          </w:p>
        </w:tc>
        <w:tc>
          <w:tcPr>
            <w:tcW w:type="dxa" w:w="3600"/>
            <w:vAlign w:val="top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20"/>
            </w:pPr>
            <w:r>
              <w:rPr>
                <w:sz w:val="18"/>
              </w:rPr>
              <w:br/>
            </w:r>
          </w:p>
        </w:tc>
        <w:tc>
          <w:tcPr>
            <w:tcW w:type="dxa" w:w="3600"/>
            <w:vAlign w:val="top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20"/>
            </w:pPr>
            <w:r>
              <w:rPr>
                <w:sz w:val="18"/>
              </w:rPr>
              <w:br/>
            </w:r>
          </w:p>
        </w:tc>
      </w:tr>
      <w:tr>
        <w:trPr>
          <w:cantSplit/>
        </w:trPr>
        <w:tc>
          <w:tcPr>
            <w:tcW w:type="dxa" w:w="2880"/>
            <w:vAlign w:val="top"/>
            <w:tcMar>
              <w:top w:w="85" w:type="dxa"/>
              <w:left w:w="85" w:type="dxa"/>
              <w:bottom w:w="85" w:type="dxa"/>
              <w:right w:w="85" w:type="dxa"/>
            </w:tcMar>
            <w:shd w:fill="EFF3F8"/>
          </w:tcPr>
          <w:p>
            <w:pPr>
              <w:spacing w:after="20"/>
            </w:pPr>
            <w:r>
              <w:rPr>
                <w:sz w:val="18"/>
              </w:rPr>
              <w:t>Assumption / missing support</w:t>
            </w:r>
          </w:p>
        </w:tc>
        <w:tc>
          <w:tcPr>
            <w:tcW w:type="dxa" w:w="3600"/>
            <w:vAlign w:val="top"/>
            <w:tcMar>
              <w:top w:w="85" w:type="dxa"/>
              <w:left w:w="85" w:type="dxa"/>
              <w:bottom w:w="85" w:type="dxa"/>
              <w:right w:w="85" w:type="dxa"/>
            </w:tcMar>
            <w:shd w:fill="EFF3F8"/>
          </w:tcPr>
          <w:p>
            <w:pPr>
              <w:spacing w:after="20"/>
            </w:pPr>
            <w:r>
              <w:rPr>
                <w:sz w:val="18"/>
              </w:rPr>
              <w:br/>
            </w:r>
          </w:p>
        </w:tc>
        <w:tc>
          <w:tcPr>
            <w:tcW w:type="dxa" w:w="3600"/>
            <w:vAlign w:val="top"/>
            <w:tcMar>
              <w:top w:w="85" w:type="dxa"/>
              <w:left w:w="85" w:type="dxa"/>
              <w:bottom w:w="85" w:type="dxa"/>
              <w:right w:w="85" w:type="dxa"/>
            </w:tcMar>
            <w:shd w:fill="EFF3F8"/>
          </w:tcPr>
          <w:p>
            <w:pPr>
              <w:spacing w:after="20"/>
            </w:pPr>
            <w:r>
              <w:rPr>
                <w:sz w:val="18"/>
              </w:rPr>
              <w:br/>
            </w:r>
          </w:p>
        </w:tc>
      </w:tr>
    </w:tbl>
    <w:p>
      <w:pPr>
        <w:spacing w:after="0"/>
      </w:pPr>
    </w:p>
    <w:p>
      <w:r>
        <w:br w:type="page"/>
      </w:r>
    </w:p>
    <w:p>
      <w:pPr>
        <w:pStyle w:val="Heading1"/>
      </w:pPr>
      <w:r>
        <w:t>3  •  Compare ideas and methods  /  25 minutes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10166"/>
      </w:tblGrid>
      <w:tr>
        <w:tc>
          <w:tcPr>
            <w:tcW w:type="dxa" w:w="10166"/>
            <w:shd w:fill="EDF5F6"/>
            <w:tcMar>
              <w:top w:w="130" w:type="dxa"/>
              <w:left w:w="130" w:type="dxa"/>
              <w:bottom w:w="130" w:type="dxa"/>
              <w:right w:w="130" w:type="dxa"/>
            </w:tcMar>
            <w:tcBorders>
              <w:top w:val="single" w:sz="5" w:color="D6E1E8"/>
              <w:left w:val="single" w:sz="5" w:color="D6E1E8"/>
              <w:bottom w:val="single" w:sz="5" w:color="D6E1E8"/>
              <w:right w:val="single" w:sz="5" w:color="D6E1E8"/>
            </w:tcBorders>
          </w:tcPr>
          <w:p>
            <w:pPr>
              <w:spacing w:after="0"/>
            </w:pPr>
            <w:r>
              <w:rPr>
                <w:b/>
              </w:rPr>
              <w:t xml:space="preserve">Helpful distinction  </w:t>
            </w:r>
            <w:r>
              <w:t>An idea is WHAT the writer argues. A method is HOW the writer conveys it (for example analogy, direct address, contrast, concession, metaphor or a rhetorical question).</w:t>
            </w:r>
          </w:p>
        </w:tc>
      </w:tr>
    </w:tbl>
    <w:p>
      <w:pPr>
        <w:spacing w:after="0"/>
      </w:pPr>
    </w:p>
    <w:p>
      <w:r>
        <w:t>Use the large “04_Comparison_Grid” for the full activity. Begin with these prompts:</w:t>
      </w:r>
    </w:p>
    <w:p>
      <w:pPr>
        <w:ind w:left="245" w:hanging="216"/>
      </w:pPr>
      <w:r>
        <w:rPr>
          <w:b/>
        </w:rPr>
        <w:t xml:space="preserve">1. </w:t>
      </w:r>
      <w:r>
        <w:t>What counts as a skill? How do both writers recognise skill but reach different conclusions?</w:t>
      </w:r>
    </w:p>
    <w:p>
      <w:pPr>
        <w:ind w:left="245" w:hanging="216"/>
      </w:pPr>
      <w:r>
        <w:rPr>
          <w:b/>
        </w:rPr>
        <w:t xml:space="preserve">2. </w:t>
      </w:r>
      <w:r>
        <w:t>Does either writer acknowledge weaknesses in their own side? How does that influence credibility?</w:t>
      </w:r>
    </w:p>
    <w:p>
      <w:pPr>
        <w:ind w:left="245" w:hanging="216"/>
      </w:pPr>
      <w:r>
        <w:rPr>
          <w:b/>
        </w:rPr>
        <w:t xml:space="preserve">3. </w:t>
      </w:r>
      <w:r>
        <w:t>How does A’s visual contrast between a mouse and a football differ from B’s examples of musicians, chess players and pilots?</w:t>
      </w:r>
    </w:p>
    <w:p>
      <w:pPr>
        <w:ind w:left="245" w:hanging="216"/>
      </w:pPr>
      <w:r>
        <w:rPr>
          <w:b/>
        </w:rPr>
        <w:t xml:space="preserve">4. </w:t>
      </w:r>
      <w:r>
        <w:t>Which audiences or institutions might respond differently to these arguments?</w:t>
      </w:r>
    </w:p>
    <w:p>
      <w:pPr>
        <w:pStyle w:val="Heading2"/>
      </w:pPr>
      <w:r>
        <w:t>Useful comparison language</w:t>
      </w:r>
    </w:p>
    <w:p>
      <w:r>
        <w:t>“Both writers acknowledge …, but they differ because …”</w:t>
      </w:r>
    </w:p>
    <w:p>
      <w:r>
        <w:t>“Whereas Karim presents … as …, Morgan frames it as …”</w:t>
      </w:r>
    </w:p>
    <w:p>
      <w:r>
        <w:t>“Karim uses the image of … to challenge …; by contrast, Morgan relies on … to suggest …”</w:t>
      </w:r>
    </w:p>
    <w:p>
      <w:r>
        <w:t>“This choice encourages the reader to … because …”</w:t>
      </w:r>
    </w:p>
    <w:p>
      <w:pPr>
        <w:pStyle w:val="Heading2"/>
      </w:pPr>
      <w:r>
        <w:t>Make one linked comparison</w:t>
      </w:r>
    </w:p>
    <w:p>
      <w:r>
        <w:t>Writer A suggests __________________________________________ whereas Writer B argues</w:t>
      </w:r>
    </w:p>
    <w:p>
      <w:pPr>
        <w:spacing w:after="0" w:line="240" w:lineRule="auto"/>
      </w:pPr>
      <w:r>
        <w:rPr>
          <w:color w:val="D2E0E5"/>
          <w:sz w:val="18"/>
        </w:rPr>
        <w:t>________________________________________________________________________________</w:t>
      </w:r>
    </w:p>
    <w:p>
      <w:pPr>
        <w:spacing w:after="0" w:line="240" w:lineRule="auto"/>
      </w:pPr>
      <w:r>
        <w:rPr>
          <w:color w:val="D2E0E5"/>
          <w:sz w:val="18"/>
        </w:rPr>
        <w:t>________________________________________________________________________________</w:t>
      </w:r>
    </w:p>
    <w:p>
      <w:r>
        <w:t>A’s method and likely reader effect:</w:t>
      </w:r>
    </w:p>
    <w:p>
      <w:pPr>
        <w:spacing w:after="0" w:line="240" w:lineRule="auto"/>
      </w:pPr>
      <w:r>
        <w:rPr>
          <w:color w:val="D2E0E5"/>
          <w:sz w:val="18"/>
        </w:rPr>
        <w:t>________________________________________________________________________________</w:t>
      </w:r>
    </w:p>
    <w:p>
      <w:pPr>
        <w:spacing w:after="0" w:line="240" w:lineRule="auto"/>
      </w:pPr>
      <w:r>
        <w:rPr>
          <w:color w:val="D2E0E5"/>
          <w:sz w:val="18"/>
        </w:rPr>
        <w:t>________________________________________________________________________________</w:t>
      </w:r>
    </w:p>
    <w:p>
      <w:r>
        <w:t>B’s different method and likely reader effect:</w:t>
      </w:r>
    </w:p>
    <w:p>
      <w:pPr>
        <w:spacing w:after="0" w:line="240" w:lineRule="auto"/>
      </w:pPr>
      <w:r>
        <w:rPr>
          <w:color w:val="D2E0E5"/>
          <w:sz w:val="18"/>
        </w:rPr>
        <w:t>________________________________________________________________________________</w:t>
      </w:r>
    </w:p>
    <w:p>
      <w:pPr>
        <w:spacing w:after="0" w:line="240" w:lineRule="auto"/>
      </w:pPr>
      <w:r>
        <w:rPr>
          <w:color w:val="D2E0E5"/>
          <w:sz w:val="18"/>
        </w:rPr>
        <w:t>________________________________________________________________________________</w:t>
      </w:r>
    </w:p>
    <w:p>
      <w:r>
        <w:br w:type="page"/>
      </w:r>
    </w:p>
    <w:p>
      <w:pPr>
        <w:pStyle w:val="Heading1"/>
      </w:pPr>
      <w:r>
        <w:t>4  •  Evidence Tribunal  /  20 minutes</w:t>
      </w:r>
    </w:p>
    <w:p>
      <w:r>
        <w:t>Use the “05_Evidence_Tribunal_Cards”. Sort the claim cards, then complete the rating sheet. Judge the support on the printed pages, not whether you personally like the conclusion.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508760"/>
        <w:gridCol w:w="2743200"/>
        <w:gridCol w:w="2148840"/>
      </w:tblGrid>
      <w:tr>
        <w:trPr>
          <w:tblHeader/>
        </w:trPr>
        <w:tc>
          <w:tcPr>
            <w:tcW w:type="dxa" w:w="2376"/>
            <w:shd w:fill="17324D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r>
              <w:rPr>
                <w:b/>
                <w:color w:val="FFFFFF"/>
                <w:sz w:val="18"/>
              </w:rPr>
              <w:t>Decision</w:t>
            </w:r>
          </w:p>
        </w:tc>
        <w:tc>
          <w:tcPr>
            <w:tcW w:type="dxa" w:w="4320"/>
            <w:shd w:fill="17324D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r>
              <w:rPr>
                <w:b/>
                <w:color w:val="FFFFFF"/>
                <w:sz w:val="18"/>
              </w:rPr>
              <w:t>Meaning</w:t>
            </w:r>
          </w:p>
        </w:tc>
        <w:tc>
          <w:tcPr>
            <w:tcW w:type="dxa" w:w="3384"/>
            <w:shd w:fill="17324D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r>
              <w:rPr>
                <w:b/>
                <w:color w:val="FFFFFF"/>
                <w:sz w:val="18"/>
              </w:rPr>
              <w:t>A useful question</w:t>
            </w:r>
          </w:p>
        </w:tc>
      </w:tr>
      <w:tr>
        <w:trPr>
          <w:cantSplit/>
        </w:trPr>
        <w:tc>
          <w:tcPr>
            <w:tcW w:type="dxa" w:w="2376"/>
            <w:vAlign w:val="top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20"/>
            </w:pPr>
            <w:r>
              <w:rPr>
                <w:sz w:val="18"/>
              </w:rPr>
              <w:t>Supported/illustrated in the text</w:t>
            </w:r>
          </w:p>
        </w:tc>
        <w:tc>
          <w:tcPr>
            <w:tcW w:type="dxa" w:w="4320"/>
            <w:vAlign w:val="top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20"/>
            </w:pPr>
            <w:r>
              <w:rPr>
                <w:sz w:val="18"/>
              </w:rPr>
              <w:t>The writer explains or illustrates a point clearly; this does not independently verify it.</w:t>
            </w:r>
          </w:p>
        </w:tc>
        <w:tc>
          <w:tcPr>
            <w:tcW w:type="dxa" w:w="3384"/>
            <w:vAlign w:val="top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20"/>
            </w:pPr>
            <w:r>
              <w:rPr>
                <w:sz w:val="18"/>
              </w:rPr>
              <w:t>What language or example supports the claim?</w:t>
            </w:r>
          </w:p>
        </w:tc>
      </w:tr>
      <w:tr>
        <w:trPr>
          <w:cantSplit/>
        </w:trPr>
        <w:tc>
          <w:tcPr>
            <w:tcW w:type="dxa" w:w="2376"/>
            <w:vAlign w:val="top"/>
            <w:tcMar>
              <w:top w:w="85" w:type="dxa"/>
              <w:left w:w="85" w:type="dxa"/>
              <w:bottom w:w="85" w:type="dxa"/>
              <w:right w:w="85" w:type="dxa"/>
            </w:tcMar>
            <w:shd w:fill="EFF3F8"/>
          </w:tcPr>
          <w:p>
            <w:pPr>
              <w:spacing w:after="20"/>
            </w:pPr>
            <w:r>
              <w:rPr>
                <w:sz w:val="18"/>
              </w:rPr>
              <w:t>Needs external evidence</w:t>
            </w:r>
          </w:p>
        </w:tc>
        <w:tc>
          <w:tcPr>
            <w:tcW w:type="dxa" w:w="4320"/>
            <w:vAlign w:val="top"/>
            <w:tcMar>
              <w:top w:w="85" w:type="dxa"/>
              <w:left w:w="85" w:type="dxa"/>
              <w:bottom w:w="85" w:type="dxa"/>
              <w:right w:w="85" w:type="dxa"/>
            </w:tcMar>
            <w:shd w:fill="EFF3F8"/>
          </w:tcPr>
          <w:p>
            <w:pPr>
              <w:spacing w:after="20"/>
            </w:pPr>
            <w:r>
              <w:rPr>
                <w:sz w:val="18"/>
              </w:rPr>
              <w:t>A real-world, causal or measurable claim that the author does not verify here.</w:t>
            </w:r>
          </w:p>
        </w:tc>
        <w:tc>
          <w:tcPr>
            <w:tcW w:type="dxa" w:w="3384"/>
            <w:vAlign w:val="top"/>
            <w:tcMar>
              <w:top w:w="85" w:type="dxa"/>
              <w:left w:w="85" w:type="dxa"/>
              <w:bottom w:w="85" w:type="dxa"/>
              <w:right w:w="85" w:type="dxa"/>
            </w:tcMar>
            <w:shd w:fill="EFF3F8"/>
          </w:tcPr>
          <w:p>
            <w:pPr>
              <w:spacing w:after="20"/>
            </w:pPr>
            <w:r>
              <w:rPr>
                <w:sz w:val="18"/>
              </w:rPr>
              <w:t>What study, policy or concrete example would help?</w:t>
            </w:r>
          </w:p>
        </w:tc>
      </w:tr>
      <w:tr>
        <w:trPr>
          <w:cantSplit/>
        </w:trPr>
        <w:tc>
          <w:tcPr>
            <w:tcW w:type="dxa" w:w="2376"/>
            <w:vAlign w:val="top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20"/>
            </w:pPr>
            <w:r>
              <w:rPr>
                <w:sz w:val="18"/>
              </w:rPr>
              <w:t>Mainly a value judgement</w:t>
            </w:r>
          </w:p>
        </w:tc>
        <w:tc>
          <w:tcPr>
            <w:tcW w:type="dxa" w:w="4320"/>
            <w:vAlign w:val="top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20"/>
            </w:pPr>
            <w:r>
              <w:rPr>
                <w:sz w:val="18"/>
              </w:rPr>
              <w:t>A view about what “should”, “deserves” or “matters” most.</w:t>
            </w:r>
          </w:p>
        </w:tc>
        <w:tc>
          <w:tcPr>
            <w:tcW w:type="dxa" w:w="3384"/>
            <w:vAlign w:val="top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20"/>
            </w:pPr>
            <w:r>
              <w:rPr>
                <w:sz w:val="18"/>
              </w:rPr>
              <w:t>Whose priorities shape this judgement?</w:t>
            </w:r>
          </w:p>
        </w:tc>
      </w:tr>
    </w:tbl>
    <w:p>
      <w:pPr>
        <w:spacing w:after="0"/>
      </w:pPr>
    </w:p>
    <w:p>
      <w:pPr>
        <w:pStyle w:val="Heading2"/>
      </w:pPr>
      <w:r>
        <w:t>Choose three cards you disagreed about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31520"/>
        <w:gridCol w:w="1463040"/>
        <w:gridCol w:w="4206240"/>
      </w:tblGrid>
      <w:tr>
        <w:trPr>
          <w:tblHeader/>
        </w:trPr>
        <w:tc>
          <w:tcPr>
            <w:tcW w:type="dxa" w:w="1152"/>
            <w:shd w:fill="17324D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r>
              <w:rPr>
                <w:b/>
                <w:color w:val="FFFFFF"/>
                <w:sz w:val="18"/>
              </w:rPr>
              <w:t>Card</w:t>
            </w:r>
          </w:p>
        </w:tc>
        <w:tc>
          <w:tcPr>
            <w:tcW w:type="dxa" w:w="2304"/>
            <w:shd w:fill="17324D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r>
              <w:rPr>
                <w:b/>
                <w:color w:val="FFFFFF"/>
                <w:sz w:val="18"/>
              </w:rPr>
              <w:t>Our rating</w:t>
            </w:r>
          </w:p>
        </w:tc>
        <w:tc>
          <w:tcPr>
            <w:tcW w:type="dxa" w:w="6624"/>
            <w:shd w:fill="17324D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r>
              <w:rPr>
                <w:b/>
                <w:color w:val="FFFFFF"/>
                <w:sz w:val="18"/>
              </w:rPr>
              <w:t>Exact phrase / explanation / missing evidence</w:t>
            </w:r>
          </w:p>
        </w:tc>
      </w:tr>
      <w:tr>
        <w:trPr>
          <w:cantSplit/>
        </w:trPr>
        <w:tc>
          <w:tcPr>
            <w:tcW w:type="dxa" w:w="1152"/>
            <w:vAlign w:val="top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20"/>
            </w:pPr>
            <w:r>
              <w:rPr>
                <w:sz w:val="18"/>
              </w:rPr>
              <w:t>#____</w:t>
            </w:r>
          </w:p>
        </w:tc>
        <w:tc>
          <w:tcPr>
            <w:tcW w:type="dxa" w:w="2304"/>
            <w:vAlign w:val="top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20"/>
            </w:pPr>
            <w:r>
              <w:rPr>
                <w:sz w:val="18"/>
              </w:rPr>
              <w:br/>
            </w:r>
          </w:p>
        </w:tc>
        <w:tc>
          <w:tcPr>
            <w:tcW w:type="dxa" w:w="6624"/>
            <w:vAlign w:val="top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20"/>
            </w:pPr>
            <w:r>
              <w:rPr>
                <w:sz w:val="18"/>
              </w:rPr>
              <w:br/>
              <w:br/>
            </w:r>
          </w:p>
        </w:tc>
      </w:tr>
      <w:tr>
        <w:trPr>
          <w:cantSplit/>
        </w:trPr>
        <w:tc>
          <w:tcPr>
            <w:tcW w:type="dxa" w:w="1152"/>
            <w:vAlign w:val="top"/>
            <w:tcMar>
              <w:top w:w="85" w:type="dxa"/>
              <w:left w:w="85" w:type="dxa"/>
              <w:bottom w:w="85" w:type="dxa"/>
              <w:right w:w="85" w:type="dxa"/>
            </w:tcMar>
            <w:shd w:fill="EFF3F8"/>
          </w:tcPr>
          <w:p>
            <w:pPr>
              <w:spacing w:after="20"/>
            </w:pPr>
            <w:r>
              <w:rPr>
                <w:sz w:val="18"/>
              </w:rPr>
              <w:t>#____</w:t>
            </w:r>
          </w:p>
        </w:tc>
        <w:tc>
          <w:tcPr>
            <w:tcW w:type="dxa" w:w="2304"/>
            <w:vAlign w:val="top"/>
            <w:tcMar>
              <w:top w:w="85" w:type="dxa"/>
              <w:left w:w="85" w:type="dxa"/>
              <w:bottom w:w="85" w:type="dxa"/>
              <w:right w:w="85" w:type="dxa"/>
            </w:tcMar>
            <w:shd w:fill="EFF3F8"/>
          </w:tcPr>
          <w:p>
            <w:pPr>
              <w:spacing w:after="20"/>
            </w:pPr>
            <w:r>
              <w:rPr>
                <w:sz w:val="18"/>
              </w:rPr>
              <w:br/>
            </w:r>
          </w:p>
        </w:tc>
        <w:tc>
          <w:tcPr>
            <w:tcW w:type="dxa" w:w="6624"/>
            <w:vAlign w:val="top"/>
            <w:tcMar>
              <w:top w:w="85" w:type="dxa"/>
              <w:left w:w="85" w:type="dxa"/>
              <w:bottom w:w="85" w:type="dxa"/>
              <w:right w:w="85" w:type="dxa"/>
            </w:tcMar>
            <w:shd w:fill="EFF3F8"/>
          </w:tcPr>
          <w:p>
            <w:pPr>
              <w:spacing w:after="20"/>
            </w:pPr>
            <w:r>
              <w:rPr>
                <w:sz w:val="18"/>
              </w:rPr>
              <w:br/>
              <w:br/>
            </w:r>
          </w:p>
        </w:tc>
      </w:tr>
      <w:tr>
        <w:trPr>
          <w:cantSplit/>
        </w:trPr>
        <w:tc>
          <w:tcPr>
            <w:tcW w:type="dxa" w:w="1152"/>
            <w:vAlign w:val="top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20"/>
            </w:pPr>
            <w:r>
              <w:rPr>
                <w:sz w:val="18"/>
              </w:rPr>
              <w:t>#____</w:t>
            </w:r>
          </w:p>
        </w:tc>
        <w:tc>
          <w:tcPr>
            <w:tcW w:type="dxa" w:w="2304"/>
            <w:vAlign w:val="top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20"/>
            </w:pPr>
            <w:r>
              <w:rPr>
                <w:sz w:val="18"/>
              </w:rPr>
              <w:br/>
            </w:r>
          </w:p>
        </w:tc>
        <w:tc>
          <w:tcPr>
            <w:tcW w:type="dxa" w:w="6624"/>
            <w:vAlign w:val="top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20"/>
            </w:pPr>
            <w:r>
              <w:rPr>
                <w:sz w:val="18"/>
              </w:rPr>
              <w:br/>
              <w:br/>
            </w:r>
          </w:p>
        </w:tc>
      </w:tr>
    </w:tbl>
    <w:p>
      <w:pPr>
        <w:spacing w:after="0"/>
      </w:pPr>
    </w:p>
    <w:p>
      <w:r>
        <w:t>Why can a persuasive argument contain some claims that still need checking?</w:t>
      </w:r>
    </w:p>
    <w:p>
      <w:pPr>
        <w:spacing w:after="0" w:line="240" w:lineRule="auto"/>
      </w:pPr>
      <w:r>
        <w:rPr>
          <w:color w:val="D2E0E5"/>
          <w:sz w:val="18"/>
        </w:rPr>
        <w:t>________________________________________________________________________________</w:t>
      </w:r>
    </w:p>
    <w:p>
      <w:pPr>
        <w:spacing w:after="0" w:line="240" w:lineRule="auto"/>
      </w:pPr>
      <w:r>
        <w:rPr>
          <w:color w:val="D2E0E5"/>
          <w:sz w:val="18"/>
        </w:rPr>
        <w:t>________________________________________________________________________________</w:t>
      </w:r>
    </w:p>
    <w:p>
      <w:pPr>
        <w:spacing w:after="0" w:line="240" w:lineRule="auto"/>
      </w:pPr>
      <w:r>
        <w:rPr>
          <w:color w:val="D2E0E5"/>
          <w:sz w:val="18"/>
        </w:rPr>
        <w:t>________________________________________________________________________________</w:t>
      </w:r>
    </w:p>
    <w:p>
      <w:r>
        <w:br w:type="page"/>
      </w:r>
    </w:p>
    <w:p>
      <w:pPr>
        <w:pStyle w:val="Heading1"/>
      </w:pPr>
      <w:r>
        <w:t>5  •  Compare the writers  /  25 minutes</w:t>
      </w:r>
    </w:p>
    <w:p>
      <w:r>
        <w:t>Write one developed comparative paragraph of about 180–230 words (or two linked shorter paragraphs). Compare both views AND how language or methods convey them. Read “06_Comparative_Writing_Scaffold” for support.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10166"/>
      </w:tblGrid>
      <w:tr>
        <w:tc>
          <w:tcPr>
            <w:tcW w:type="dxa" w:w="10166"/>
            <w:shd w:fill="EDF5F6"/>
            <w:tcMar>
              <w:top w:w="130" w:type="dxa"/>
              <w:left w:w="130" w:type="dxa"/>
              <w:bottom w:w="130" w:type="dxa"/>
              <w:right w:w="130" w:type="dxa"/>
            </w:tcMar>
            <w:tcBorders>
              <w:top w:val="single" w:sz="5" w:color="D6E1E8"/>
              <w:left w:val="single" w:sz="5" w:color="D6E1E8"/>
              <w:bottom w:val="single" w:sz="5" w:color="D6E1E8"/>
              <w:right w:val="single" w:sz="5" w:color="D6E1E8"/>
            </w:tcBorders>
          </w:tcPr>
          <w:p>
            <w:pPr>
              <w:spacing w:after="0"/>
            </w:pPr>
            <w:r>
              <w:rPr>
                <w:b/>
              </w:rPr>
              <w:t xml:space="preserve">Writing focus  </w:t>
            </w:r>
            <w:r>
              <w:t>Avoid “Source A says … Source B says …” as two separate summaries. Link both writers in each main point and explain the difference in their choices.</w:t>
            </w:r>
          </w:p>
        </w:tc>
      </w:tr>
    </w:tbl>
    <w:p>
      <w:pPr>
        <w:spacing w:after="0"/>
      </w:pPr>
    </w:p>
    <w:p>
      <w:pPr>
        <w:pStyle w:val="Heading2"/>
      </w:pPr>
      <w:r>
        <w:t>Planning boxes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691640"/>
        <w:gridCol w:w="2354580"/>
        <w:gridCol w:w="2354580"/>
      </w:tblGrid>
      <w:tr>
        <w:trPr>
          <w:tblHeader/>
        </w:trPr>
        <w:tc>
          <w:tcPr>
            <w:tcW w:type="dxa" w:w="2664"/>
            <w:shd w:fill="17324D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r>
              <w:rPr>
                <w:b/>
                <w:color w:val="FFFFFF"/>
                <w:sz w:val="18"/>
              </w:rPr>
              <w:t>My shared theme</w:t>
            </w:r>
          </w:p>
        </w:tc>
        <w:tc>
          <w:tcPr>
            <w:tcW w:type="dxa" w:w="3708"/>
            <w:shd w:fill="17324D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r>
              <w:rPr>
                <w:b/>
                <w:color w:val="FFFFFF"/>
                <w:sz w:val="18"/>
              </w:rPr>
              <w:t>A: idea / short quotation</w:t>
            </w:r>
          </w:p>
        </w:tc>
        <w:tc>
          <w:tcPr>
            <w:tcW w:type="dxa" w:w="3708"/>
            <w:shd w:fill="17324D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r>
              <w:rPr>
                <w:b/>
                <w:color w:val="FFFFFF"/>
                <w:sz w:val="18"/>
              </w:rPr>
              <w:t>B: idea / short quotation</w:t>
            </w:r>
          </w:p>
        </w:tc>
      </w:tr>
      <w:tr>
        <w:trPr>
          <w:cantSplit/>
        </w:trPr>
        <w:tc>
          <w:tcPr>
            <w:tcW w:type="dxa" w:w="2664"/>
            <w:vAlign w:val="top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20"/>
            </w:pPr>
            <w:r>
              <w:rPr>
                <w:sz w:val="18"/>
              </w:rPr>
              <w:t>How competitions should be classified</w:t>
            </w:r>
          </w:p>
        </w:tc>
        <w:tc>
          <w:tcPr>
            <w:tcW w:type="dxa" w:w="3708"/>
            <w:vAlign w:val="top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20"/>
            </w:pPr>
            <w:r>
              <w:rPr>
                <w:sz w:val="18"/>
              </w:rPr>
              <w:br/>
              <w:br/>
            </w:r>
          </w:p>
        </w:tc>
        <w:tc>
          <w:tcPr>
            <w:tcW w:type="dxa" w:w="3708"/>
            <w:vAlign w:val="top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20"/>
            </w:pPr>
            <w:r>
              <w:rPr>
                <w:sz w:val="18"/>
              </w:rPr>
              <w:br/>
              <w:br/>
            </w:r>
          </w:p>
        </w:tc>
      </w:tr>
      <w:tr>
        <w:trPr>
          <w:cantSplit/>
        </w:trPr>
        <w:tc>
          <w:tcPr>
            <w:tcW w:type="dxa" w:w="2664"/>
            <w:vAlign w:val="top"/>
            <w:tcMar>
              <w:top w:w="85" w:type="dxa"/>
              <w:left w:w="85" w:type="dxa"/>
              <w:bottom w:w="85" w:type="dxa"/>
              <w:right w:w="85" w:type="dxa"/>
            </w:tcMar>
            <w:shd w:fill="EFF3F8"/>
          </w:tcPr>
          <w:p>
            <w:pPr>
              <w:spacing w:after="20"/>
            </w:pPr>
            <w:r>
              <w:rPr>
                <w:sz w:val="18"/>
              </w:rPr>
              <w:t>How each persuades a reader</w:t>
            </w:r>
          </w:p>
        </w:tc>
        <w:tc>
          <w:tcPr>
            <w:tcW w:type="dxa" w:w="3708"/>
            <w:vAlign w:val="top"/>
            <w:tcMar>
              <w:top w:w="85" w:type="dxa"/>
              <w:left w:w="85" w:type="dxa"/>
              <w:bottom w:w="85" w:type="dxa"/>
              <w:right w:w="85" w:type="dxa"/>
            </w:tcMar>
            <w:shd w:fill="EFF3F8"/>
          </w:tcPr>
          <w:p>
            <w:pPr>
              <w:spacing w:after="20"/>
            </w:pPr>
            <w:r>
              <w:rPr>
                <w:sz w:val="18"/>
              </w:rPr>
              <w:br/>
              <w:br/>
            </w:r>
          </w:p>
        </w:tc>
        <w:tc>
          <w:tcPr>
            <w:tcW w:type="dxa" w:w="3708"/>
            <w:vAlign w:val="top"/>
            <w:tcMar>
              <w:top w:w="85" w:type="dxa"/>
              <w:left w:w="85" w:type="dxa"/>
              <w:bottom w:w="85" w:type="dxa"/>
              <w:right w:w="85" w:type="dxa"/>
            </w:tcMar>
            <w:shd w:fill="EFF3F8"/>
          </w:tcPr>
          <w:p>
            <w:pPr>
              <w:spacing w:after="20"/>
            </w:pPr>
            <w:r>
              <w:rPr>
                <w:sz w:val="18"/>
              </w:rPr>
              <w:br/>
              <w:br/>
            </w:r>
          </w:p>
        </w:tc>
      </w:tr>
    </w:tbl>
    <w:p>
      <w:pPr>
        <w:spacing w:after="0"/>
      </w:pPr>
    </w:p>
    <w:p>
      <w:pPr>
        <w:pStyle w:val="Heading2"/>
      </w:pPr>
      <w:r>
        <w:t>Your comparative response</w:t>
      </w:r>
    </w:p>
    <w:p>
      <w:pPr>
        <w:spacing w:after="0" w:line="240" w:lineRule="auto"/>
      </w:pPr>
      <w:r>
        <w:rPr>
          <w:color w:val="D2E0E5"/>
          <w:sz w:val="18"/>
        </w:rPr>
        <w:t>________________________________________________________________________________</w:t>
      </w:r>
    </w:p>
    <w:p>
      <w:pPr>
        <w:spacing w:after="0" w:line="240" w:lineRule="auto"/>
      </w:pPr>
      <w:r>
        <w:rPr>
          <w:color w:val="D2E0E5"/>
          <w:sz w:val="18"/>
        </w:rPr>
        <w:t>________________________________________________________________________________</w:t>
      </w:r>
    </w:p>
    <w:p>
      <w:pPr>
        <w:spacing w:after="0" w:line="240" w:lineRule="auto"/>
      </w:pPr>
      <w:r>
        <w:rPr>
          <w:color w:val="D2E0E5"/>
          <w:sz w:val="18"/>
        </w:rPr>
        <w:t>________________________________________________________________________________</w:t>
      </w:r>
    </w:p>
    <w:p>
      <w:pPr>
        <w:spacing w:after="0" w:line="240" w:lineRule="auto"/>
      </w:pPr>
      <w:r>
        <w:rPr>
          <w:color w:val="D2E0E5"/>
          <w:sz w:val="18"/>
        </w:rPr>
        <w:t>________________________________________________________________________________</w:t>
      </w:r>
    </w:p>
    <w:p>
      <w:pPr>
        <w:spacing w:after="0" w:line="240" w:lineRule="auto"/>
      </w:pPr>
      <w:r>
        <w:rPr>
          <w:color w:val="D2E0E5"/>
          <w:sz w:val="18"/>
        </w:rPr>
        <w:t>________________________________________________________________________________</w:t>
      </w:r>
    </w:p>
    <w:p>
      <w:pPr>
        <w:spacing w:after="0" w:line="240" w:lineRule="auto"/>
      </w:pPr>
      <w:r>
        <w:rPr>
          <w:color w:val="D2E0E5"/>
          <w:sz w:val="18"/>
        </w:rPr>
        <w:t>________________________________________________________________________________</w:t>
      </w:r>
    </w:p>
    <w:p>
      <w:pPr>
        <w:spacing w:after="0" w:line="240" w:lineRule="auto"/>
      </w:pPr>
      <w:r>
        <w:rPr>
          <w:color w:val="D2E0E5"/>
          <w:sz w:val="18"/>
        </w:rPr>
        <w:t>________________________________________________________________________________</w:t>
      </w:r>
    </w:p>
    <w:p>
      <w:pPr>
        <w:spacing w:after="0" w:line="240" w:lineRule="auto"/>
      </w:pPr>
      <w:r>
        <w:rPr>
          <w:color w:val="D2E0E5"/>
          <w:sz w:val="18"/>
        </w:rPr>
        <w:t>________________________________________________________________________________</w:t>
      </w:r>
    </w:p>
    <w:p>
      <w:pPr>
        <w:spacing w:after="0" w:line="240" w:lineRule="auto"/>
      </w:pPr>
      <w:r>
        <w:rPr>
          <w:color w:val="D2E0E5"/>
          <w:sz w:val="18"/>
        </w:rPr>
        <w:t>________________________________________________________________________________</w:t>
      </w:r>
    </w:p>
    <w:p>
      <w:pPr>
        <w:spacing w:after="0" w:line="240" w:lineRule="auto"/>
      </w:pPr>
      <w:r>
        <w:rPr>
          <w:color w:val="D2E0E5"/>
          <w:sz w:val="18"/>
        </w:rPr>
        <w:t>________________________________________________________________________________</w:t>
      </w:r>
    </w:p>
    <w:p>
      <w:pPr>
        <w:spacing w:after="0" w:line="240" w:lineRule="auto"/>
      </w:pPr>
      <w:r>
        <w:rPr>
          <w:color w:val="D2E0E5"/>
          <w:sz w:val="18"/>
        </w:rPr>
        <w:t>________________________________________________________________________________</w:t>
      </w:r>
    </w:p>
    <w:p>
      <w:pPr>
        <w:spacing w:after="0" w:line="240" w:lineRule="auto"/>
      </w:pPr>
      <w:r>
        <w:rPr>
          <w:color w:val="D2E0E5"/>
          <w:sz w:val="18"/>
        </w:rPr>
        <w:t>________________________________________________________________________________</w:t>
      </w:r>
    </w:p>
    <w:p>
      <w:pPr>
        <w:spacing w:after="0" w:line="240" w:lineRule="auto"/>
      </w:pPr>
      <w:r>
        <w:rPr>
          <w:color w:val="D2E0E5"/>
          <w:sz w:val="18"/>
        </w:rPr>
        <w:t>________________________________________________________________________________</w:t>
      </w:r>
    </w:p>
    <w:p>
      <w:pPr>
        <w:spacing w:after="0" w:line="240" w:lineRule="auto"/>
      </w:pPr>
      <w:r>
        <w:rPr>
          <w:color w:val="D2E0E5"/>
          <w:sz w:val="18"/>
        </w:rPr>
        <w:t>________________________________________________________________________________</w:t>
      </w:r>
    </w:p>
    <w:p>
      <w:pPr>
        <w:spacing w:after="0" w:line="240" w:lineRule="auto"/>
      </w:pPr>
      <w:r>
        <w:rPr>
          <w:color w:val="D2E0E5"/>
          <w:sz w:val="18"/>
        </w:rPr>
        <w:t>________________________________________________________________________________</w:t>
      </w:r>
    </w:p>
    <w:p>
      <w:r>
        <w:br w:type="page"/>
      </w:r>
    </w:p>
    <w:p>
      <w:pPr>
        <w:pStyle w:val="Heading1"/>
      </w:pPr>
      <w:r>
        <w:t>6  •  Exit poll and reflection  /  10 minutes</w:t>
      </w:r>
    </w:p>
    <w:p>
      <w:r>
        <w:t>Now that you have read both texts, what do YOU think about classifying esports as a sport? This is a personal position, not the AO3 comparison answer.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303520"/>
        <w:gridCol w:w="1097280"/>
      </w:tblGrid>
      <w:tr>
        <w:trPr>
          <w:tblHeader/>
        </w:trPr>
        <w:tc>
          <w:tcPr>
            <w:tcW w:type="dxa" w:w="8352"/>
            <w:shd w:fill="17324D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r>
              <w:rPr>
                <w:b/>
                <w:color w:val="FFFFFF"/>
                <w:sz w:val="18"/>
              </w:rPr>
              <w:t>My position</w:t>
            </w:r>
          </w:p>
        </w:tc>
        <w:tc>
          <w:tcPr>
            <w:tcW w:type="dxa" w:w="1728"/>
            <w:shd w:fill="17324D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r>
              <w:rPr>
                <w:b/>
                <w:color w:val="FFFFFF"/>
                <w:sz w:val="18"/>
              </w:rPr>
              <w:t>Tick one</w:t>
            </w:r>
          </w:p>
        </w:tc>
      </w:tr>
      <w:tr>
        <w:trPr>
          <w:cantSplit/>
        </w:trPr>
        <w:tc>
          <w:tcPr>
            <w:tcW w:type="dxa" w:w="8352"/>
            <w:vAlign w:val="top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20"/>
            </w:pPr>
            <w:r>
              <w:rPr>
                <w:sz w:val="18"/>
              </w:rPr>
              <w:t>Yes — organise it under “sport”</w:t>
            </w:r>
          </w:p>
        </w:tc>
        <w:tc>
          <w:tcPr>
            <w:tcW w:type="dxa" w:w="1728"/>
            <w:vAlign w:val="top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20"/>
            </w:pPr>
            <w:r>
              <w:rPr>
                <w:sz w:val="18"/>
              </w:rPr>
              <w:t>☐</w:t>
            </w:r>
          </w:p>
        </w:tc>
      </w:tr>
      <w:tr>
        <w:trPr>
          <w:cantSplit/>
        </w:trPr>
        <w:tc>
          <w:tcPr>
            <w:tcW w:type="dxa" w:w="8352"/>
            <w:vAlign w:val="top"/>
            <w:tcMar>
              <w:top w:w="85" w:type="dxa"/>
              <w:left w:w="85" w:type="dxa"/>
              <w:bottom w:w="85" w:type="dxa"/>
              <w:right w:w="85" w:type="dxa"/>
            </w:tcMar>
            <w:shd w:fill="EFF3F8"/>
          </w:tcPr>
          <w:p>
            <w:pPr>
              <w:spacing w:after="20"/>
            </w:pPr>
            <w:r>
              <w:rPr>
                <w:sz w:val="18"/>
              </w:rPr>
              <w:t>No — classify it separately</w:t>
            </w:r>
          </w:p>
        </w:tc>
        <w:tc>
          <w:tcPr>
            <w:tcW w:type="dxa" w:w="1728"/>
            <w:vAlign w:val="top"/>
            <w:tcMar>
              <w:top w:w="85" w:type="dxa"/>
              <w:left w:w="85" w:type="dxa"/>
              <w:bottom w:w="85" w:type="dxa"/>
              <w:right w:w="85" w:type="dxa"/>
            </w:tcMar>
            <w:shd w:fill="EFF3F8"/>
          </w:tcPr>
          <w:p>
            <w:pPr>
              <w:spacing w:after="20"/>
            </w:pPr>
            <w:r>
              <w:rPr>
                <w:sz w:val="18"/>
              </w:rPr>
              <w:t>☐</w:t>
            </w:r>
          </w:p>
        </w:tc>
      </w:tr>
      <w:tr>
        <w:trPr>
          <w:cantSplit/>
        </w:trPr>
        <w:tc>
          <w:tcPr>
            <w:tcW w:type="dxa" w:w="8352"/>
            <w:vAlign w:val="top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20"/>
            </w:pPr>
            <w:r>
              <w:rPr>
                <w:sz w:val="18"/>
              </w:rPr>
              <w:t>It depends on the definition or event</w:t>
            </w:r>
          </w:p>
        </w:tc>
        <w:tc>
          <w:tcPr>
            <w:tcW w:type="dxa" w:w="1728"/>
            <w:vAlign w:val="top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20"/>
            </w:pPr>
            <w:r>
              <w:rPr>
                <w:sz w:val="18"/>
              </w:rPr>
              <w:t>☐</w:t>
            </w:r>
          </w:p>
        </w:tc>
      </w:tr>
      <w:tr>
        <w:trPr>
          <w:cantSplit/>
        </w:trPr>
        <w:tc>
          <w:tcPr>
            <w:tcW w:type="dxa" w:w="8352"/>
            <w:vAlign w:val="top"/>
            <w:tcMar>
              <w:top w:w="85" w:type="dxa"/>
              <w:left w:w="85" w:type="dxa"/>
              <w:bottom w:w="85" w:type="dxa"/>
              <w:right w:w="85" w:type="dxa"/>
            </w:tcMar>
            <w:shd w:fill="EFF3F8"/>
          </w:tcPr>
          <w:p>
            <w:pPr>
              <w:spacing w:after="20"/>
            </w:pPr>
            <w:r>
              <w:rPr>
                <w:sz w:val="18"/>
              </w:rPr>
              <w:t>Undecided / further evidence needed</w:t>
            </w:r>
          </w:p>
        </w:tc>
        <w:tc>
          <w:tcPr>
            <w:tcW w:type="dxa" w:w="1728"/>
            <w:vAlign w:val="top"/>
            <w:tcMar>
              <w:top w:w="85" w:type="dxa"/>
              <w:left w:w="85" w:type="dxa"/>
              <w:bottom w:w="85" w:type="dxa"/>
              <w:right w:w="85" w:type="dxa"/>
            </w:tcMar>
            <w:shd w:fill="EFF3F8"/>
          </w:tcPr>
          <w:p>
            <w:pPr>
              <w:spacing w:after="20"/>
            </w:pPr>
            <w:r>
              <w:rPr>
                <w:sz w:val="18"/>
              </w:rPr>
              <w:t>☐</w:t>
            </w:r>
          </w:p>
        </w:tc>
      </w:tr>
    </w:tbl>
    <w:p>
      <w:pPr>
        <w:spacing w:after="0"/>
      </w:pPr>
    </w:p>
    <w:p>
      <w:r>
        <w:t>Explain your choice with one reason from either article and one qualification or counterargument:</w:t>
      </w:r>
    </w:p>
    <w:p>
      <w:pPr>
        <w:spacing w:after="0" w:line="240" w:lineRule="auto"/>
      </w:pPr>
      <w:r>
        <w:rPr>
          <w:color w:val="D2E0E5"/>
          <w:sz w:val="18"/>
        </w:rPr>
        <w:t>________________________________________________________________________________</w:t>
      </w:r>
    </w:p>
    <w:p>
      <w:pPr>
        <w:spacing w:after="0" w:line="240" w:lineRule="auto"/>
      </w:pPr>
      <w:r>
        <w:rPr>
          <w:color w:val="D2E0E5"/>
          <w:sz w:val="18"/>
        </w:rPr>
        <w:t>________________________________________________________________________________</w:t>
      </w:r>
    </w:p>
    <w:p>
      <w:pPr>
        <w:spacing w:after="0" w:line="240" w:lineRule="auto"/>
      </w:pPr>
      <w:r>
        <w:rPr>
          <w:color w:val="D2E0E5"/>
          <w:sz w:val="18"/>
        </w:rPr>
        <w:t>________________________________________________________________________________</w:t>
      </w:r>
    </w:p>
    <w:p>
      <w:pPr>
        <w:spacing w:after="0" w:line="240" w:lineRule="auto"/>
      </w:pPr>
      <w:r>
        <w:rPr>
          <w:color w:val="D2E0E5"/>
          <w:sz w:val="18"/>
        </w:rPr>
        <w:t>________________________________________________________________________________</w:t>
      </w:r>
    </w:p>
    <w:p>
      <w:pPr>
        <w:spacing w:after="0" w:line="240" w:lineRule="auto"/>
      </w:pPr>
      <w:r>
        <w:rPr>
          <w:color w:val="D2E0E5"/>
          <w:sz w:val="18"/>
        </w:rPr>
        <w:t>________________________________________________________________________________</w:t>
      </w:r>
    </w:p>
    <w:p>
      <w:pPr>
        <w:pStyle w:val="Heading2"/>
      </w:pPr>
      <w:r>
        <w:t>Self-check before handing in</w:t>
      </w:r>
    </w:p>
    <w:p>
      <w:r>
        <w:t>☐  I can state both writers’ main viewpoints accurately.</w:t>
      </w:r>
    </w:p>
    <w:p>
      <w:r>
        <w:t>☐  I have quotations or precise references from both articles.</w:t>
      </w:r>
    </w:p>
    <w:p>
      <w:r>
        <w:t>☐  I compare a similarity and a difference rather than simply describing both.</w:t>
      </w:r>
    </w:p>
    <w:p>
      <w:r>
        <w:t>☐  I explain an effect of a persuasive or structural choice.</w:t>
      </w:r>
    </w:p>
    <w:p>
      <w:r>
        <w:t>☐  I separate fact, plausible assertion and value judgement.</w:t>
      </w:r>
    </w:p>
    <w:p>
      <w:r>
        <w:t>My next target (one sentence):</w:t>
      </w:r>
    </w:p>
    <w:p>
      <w:pPr>
        <w:spacing w:after="0" w:line="240" w:lineRule="auto"/>
      </w:pPr>
      <w:r>
        <w:rPr>
          <w:color w:val="D2E0E5"/>
          <w:sz w:val="18"/>
        </w:rPr>
        <w:t>________________________________________________________________________________</w:t>
      </w:r>
    </w:p>
    <w:p>
      <w:pPr>
        <w:spacing w:after="0" w:line="240" w:lineRule="auto"/>
      </w:pPr>
      <w:r>
        <w:rPr>
          <w:color w:val="D2E0E5"/>
          <w:sz w:val="18"/>
        </w:rPr>
        <w:t>________________________________________________________________________________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936" w:right="1037" w:bottom="936" w:left="1037" w:header="374" w:footer="461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color w:val="657586"/>
        <w:sz w:val="16"/>
      </w:rPr>
      <w:t>AQA 8700  |  Esports English  |  Week 06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Caption"/>
    </w:pPr>
    <w:r>
      <w:rPr>
        <w:rFonts w:ascii="Aptos" w:hAnsi="Aptos"/>
        <w:b/>
        <w:color w:val="067D82"/>
        <w:sz w:val="16"/>
      </w:rPr>
      <w:t>ESPORTS  /  ENGLISH LANGUAGE                                 WEEK 06  •  STUDENT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4" w:lineRule="auto"/>
    </w:pPr>
    <w:rPr>
      <w:rFonts w:ascii="Aptos" w:hAnsi="Aptos"/>
      <w:color w:val="22313F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20" w:after="10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17324D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20" w:after="100"/>
      <w:outlineLvl w:val="1"/>
    </w:pPr>
    <w:rPr>
      <w:rFonts w:asciiTheme="majorHAnsi" w:eastAsiaTheme="majorEastAsia" w:hAnsiTheme="majorHAnsi" w:cstheme="majorBidi" w:ascii="Aptos" w:hAnsi="Aptos"/>
      <w:b/>
      <w:bCs/>
      <w:color w:val="067D82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20" w:after="100"/>
      <w:outlineLvl w:val="2"/>
    </w:pPr>
    <w:rPr>
      <w:rFonts w:asciiTheme="majorHAnsi" w:eastAsiaTheme="majorEastAsia" w:hAnsiTheme="majorHAnsi" w:cstheme="majorBidi" w:ascii="Aptos" w:hAnsi="Aptos"/>
      <w:b/>
      <w:bCs/>
      <w:color w:val="17324D"/>
      <w:sz w:val="2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100" w:line="240" w:lineRule="auto" w:before="0"/>
      <w:contextualSpacing/>
    </w:pPr>
    <w:rPr>
      <w:rFonts w:asciiTheme="majorHAnsi" w:eastAsiaTheme="majorEastAsia" w:hAnsiTheme="majorHAnsi" w:cstheme="majorBidi" w:ascii="Aptos Display" w:hAnsi="Aptos Display"/>
      <w:b/>
      <w:color w:val="17324D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