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600"/>
      </w:tblGrid>
      <w:tr>
        <w:tc>
          <w:tcPr>
            <w:tcW w:type="dxa" w:w="5328"/>
            <w:shd w:fill="0B1220"/>
            <w:vAlign w:val="center"/>
          </w:tcPr>
          <w:p>
            <w:pPr>
              <w:spacing w:after="0"/>
              <w:jc w:val="left"/>
            </w:pPr>
            <w:r/>
            <w:r>
              <w:rPr>
                <w:rFonts w:ascii="Aptos" w:hAnsi="Aptos"/>
                <w:b/>
                <w:color w:val="FFFFFF"/>
                <w:sz w:val="26"/>
              </w:rPr>
              <w:t>ESPORTS INSIGHT • TOURNAMENT DESK</w:t>
            </w:r>
          </w:p>
        </w:tc>
        <w:tc>
          <w:tcPr>
            <w:tcW w:type="dxa" w:w="5328"/>
            <w:shd w:fill="0B1220"/>
            <w:vAlign w:val="center"/>
          </w:tcPr>
          <w:p>
            <w:pPr>
              <w:spacing w:after="0"/>
              <w:jc w:val="right"/>
            </w:pPr>
            <w:r/>
            <w:r>
              <w:rPr>
                <w:rFonts w:ascii="Aptos" w:hAnsi="Aptos"/>
                <w:b/>
                <w:color w:val="FF7A2D"/>
                <w:sz w:val="18"/>
              </w:rPr>
              <w:t>REPORT 04  |  24 MAY 2026</w:t>
            </w:r>
          </w:p>
        </w:tc>
      </w:tr>
    </w:tbl>
    <w:p>
      <w:pPr>
        <w:spacing w:before="160" w:after="40"/>
      </w:pPr>
      <w:r>
        <w:rPr>
          <w:rFonts w:ascii="Aptos Display" w:hAnsi="Aptos Display"/>
          <w:b/>
          <w:color w:val="15171B"/>
          <w:sz w:val="56"/>
        </w:rPr>
        <w:t>VELOCITY TURN DEFENCE INTO ATTACK IN 4-2 FINAL</w:t>
      </w:r>
    </w:p>
    <w:p>
      <w:pPr>
        <w:spacing w:after="100"/>
      </w:pPr>
      <w:r>
        <w:rPr>
          <w:i/>
          <w:color w:val="4F5964"/>
          <w:sz w:val="22"/>
        </w:rPr>
        <w:t>Goal-line saves and immediate counter-attacks define a fast, high-scoring championship series.</w:t>
      </w:r>
    </w:p>
    <w:p>
      <w:pPr>
        <w:spacing w:after="60" w:before="0"/>
        <w:pBdr>
          <w:bottom w:val="single" w:sz="18" w:space="1" w:color="FF7A2D"/>
        </w:pBdr>
      </w:pPr>
    </w:p>
    <w:tbl>
      <w:tblPr>
        <w:tblW w:type="auto" w:w="0"/>
        <w:jc w:val="center"/>
        <w:tblLayout w:type="fixed"/>
        <w:tblLook w:firstColumn="1" w:firstRow="1" w:lastColumn="0" w:lastRow="0" w:noHBand="0" w:noVBand="1" w:val="04A0"/>
      </w:tblPr>
      <w:tblGrid>
        <w:gridCol w:w="3744"/>
        <w:gridCol w:w="2232"/>
        <w:gridCol w:w="3744"/>
      </w:tblGrid>
      <w:tr>
        <w:tc>
          <w:tcPr>
            <w:tcW w:type="dxa" w:w="3552"/>
            <w:shd w:fill="111B29"/>
            <w:vAlign w:val="center"/>
          </w:tcPr>
          <w:p>
            <w:pPr>
              <w:spacing w:after="0"/>
              <w:jc w:val="left"/>
            </w:pPr>
            <w:r/>
            <w:r>
              <w:rPr>
                <w:rFonts w:ascii="Aptos" w:hAnsi="Aptos"/>
                <w:b/>
                <w:color w:val="FF7A2D"/>
                <w:sz w:val="30"/>
              </w:rPr>
              <w:t>Velocity</w:t>
            </w:r>
          </w:p>
        </w:tc>
        <w:tc>
          <w:tcPr>
            <w:tcW w:type="dxa" w:w="3552"/>
            <w:shd w:fill="111B29"/>
            <w:vAlign w:val="center"/>
          </w:tcPr>
          <w:p>
            <w:pPr>
              <w:spacing w:after="0"/>
              <w:jc w:val="left"/>
            </w:pPr>
            <w:r/>
            <w:r>
              <w:rPr>
                <w:rFonts w:ascii="Aptos" w:hAnsi="Aptos"/>
                <w:b/>
                <w:color w:val="FFFFFF"/>
                <w:sz w:val="44"/>
              </w:rPr>
              <w:t>4 - 2</w:t>
            </w:r>
          </w:p>
        </w:tc>
        <w:tc>
          <w:tcPr>
            <w:tcW w:type="dxa" w:w="3552"/>
            <w:shd w:fill="111B29"/>
            <w:vAlign w:val="center"/>
          </w:tcPr>
          <w:p>
            <w:pPr>
              <w:spacing w:after="0"/>
              <w:jc w:val="left"/>
            </w:pPr>
            <w:r/>
            <w:r>
              <w:rPr>
                <w:rFonts w:ascii="Aptos" w:hAnsi="Aptos"/>
                <w:b/>
                <w:color w:val="37A8FF"/>
                <w:sz w:val="30"/>
              </w:rPr>
              <w:t>Nova Union</w:t>
            </w:r>
          </w:p>
        </w:tc>
      </w:tr>
      <w:tr>
        <w:tc>
          <w:tcPr>
            <w:tcW w:type="dxa" w:w="3552"/>
            <w:shd w:fill="111B29"/>
            <w:vAlign w:val="center"/>
          </w:tcPr>
          <w:p>
            <w:pPr>
              <w:spacing w:after="0"/>
              <w:jc w:val="left"/>
            </w:pPr>
            <w:r/>
            <w:r>
              <w:rPr>
                <w:rFonts w:ascii="Aptos" w:hAnsi="Aptos"/>
                <w:b w:val="0"/>
                <w:color w:val="AEBFCE"/>
                <w:sz w:val="16"/>
              </w:rPr>
              <w:t>Circuit points #3</w:t>
            </w:r>
          </w:p>
        </w:tc>
        <w:tc>
          <w:tcPr>
            <w:tcW w:type="dxa" w:w="3552"/>
            <w:shd w:fill="111B29"/>
            <w:vAlign w:val="center"/>
          </w:tcPr>
          <w:p>
            <w:pPr>
              <w:spacing w:after="0"/>
              <w:jc w:val="left"/>
            </w:pPr>
            <w:r/>
            <w:r>
              <w:rPr>
                <w:rFonts w:ascii="Aptos" w:hAnsi="Aptos"/>
                <w:b/>
                <w:color w:val="AEBFCE"/>
                <w:sz w:val="16"/>
              </w:rPr>
              <w:t>BEST OF SEVEN</w:t>
            </w:r>
          </w:p>
        </w:tc>
        <w:tc>
          <w:tcPr>
            <w:tcW w:type="dxa" w:w="3552"/>
            <w:shd w:fill="111B29"/>
            <w:vAlign w:val="center"/>
          </w:tcPr>
          <w:p>
            <w:pPr>
              <w:spacing w:after="0"/>
              <w:jc w:val="left"/>
            </w:pPr>
            <w:r/>
            <w:r>
              <w:rPr>
                <w:rFonts w:ascii="Aptos" w:hAnsi="Aptos"/>
                <w:b w:val="0"/>
                <w:color w:val="AEBFCE"/>
                <w:sz w:val="16"/>
              </w:rPr>
              <w:t>Circuit points #1</w:t>
            </w:r>
          </w:p>
        </w:tc>
      </w:tr>
    </w:tbl>
    <w:tbl>
      <w:tblPr>
        <w:tblW w:type="auto" w:w="0"/>
        <w:jc w:val="center"/>
        <w:tblLayout w:type="fixed"/>
        <w:tblLook w:firstColumn="1" w:firstRow="1" w:lastColumn="0" w:lastRow="0" w:noHBand="0" w:noVBand="1" w:val="04A0"/>
      </w:tblPr>
      <w:tblGrid>
        <w:gridCol w:w="5112"/>
        <w:gridCol w:w="5112"/>
      </w:tblGrid>
      <w:tr>
        <w:tc>
          <w:tcPr>
            <w:tcW w:type="dxa" w:w="5328"/>
          </w:tcPr>
          <w:p>
            <w:pPr>
              <w:spacing w:after="100" w:line="252" w:lineRule="auto"/>
            </w:pPr>
            <w:r/>
            <w:r>
              <w:rPr>
                <w:rFonts w:ascii="Aptos" w:hAnsi="Aptos"/>
                <w:sz w:val="18"/>
              </w:rPr>
              <w:t>Velocity won the Global Circuit Championship 4-2 after producing the event’s strongest defensive numbers in the final. Nova Union actually took more shots, 58 to 49, but Velocity goalkeeper Arco recorded 31 saves and the team converted defensive clearances into 14 shots within six seconds.</w:t>
            </w:r>
          </w:p>
          <w:p>
            <w:pPr>
              <w:spacing w:after="100" w:line="252" w:lineRule="auto"/>
            </w:pPr>
            <w:r>
              <w:rPr>
                <w:rFonts w:ascii="Aptos" w:hAnsi="Aptos"/>
                <w:sz w:val="18"/>
              </w:rPr>
              <w:t>The biggest swing came in Game 5. Nova Union held 63% territorial pressure but failed to score. Velocity won 2-0, with both goals beginning from saves inside their own defensive third.</w:t>
            </w:r>
          </w:p>
        </w:tc>
        <w:tc>
          <w:tcPr>
            <w:tcW w:type="dxa" w:w="5328"/>
          </w:tcPr>
          <w:p>
            <w:pPr>
              <w:spacing w:after="100" w:line="252" w:lineRule="auto"/>
            </w:pPr>
            <w:r/>
            <w:r>
              <w:rPr>
                <w:rFonts w:ascii="Aptos" w:hAnsi="Aptos"/>
                <w:sz w:val="18"/>
              </w:rPr>
              <w:t>Across the series, Velocity scored on 22% of shots compared with Nova Union’s 14%. They also won 61% of contested aerial touches in midfield, reducing the number of second-chance attacks Nova Union could create.</w:t>
            </w:r>
          </w:p>
          <w:p>
            <w:pPr>
              <w:spacing w:after="100" w:line="252" w:lineRule="auto"/>
            </w:pPr>
            <w:r>
              <w:rPr>
                <w:rFonts w:ascii="Aptos" w:hAnsi="Aptos"/>
                <w:sz w:val="18"/>
              </w:rPr>
              <w:t>Those figures support the inference that Velocity were efficient and dangerous on the counter. They do not prove that Nova Union attacked badly: a high shot total can indicate sustained pressure, while a low conversion rate may reflect excellent goalkeeping, poor finishing, difficult shot selection or a mixture of all three.</w:t>
            </w:r>
          </w:p>
        </w:tc>
      </w:tr>
    </w:tbl>
    <w:p>
      <w:r>
        <w:drawing>
          <wp:inline xmlns:a="http://schemas.openxmlformats.org/drawingml/2006/main" xmlns:pic="http://schemas.openxmlformats.org/drawingml/2006/picture">
            <wp:extent cx="6492240" cy="3289402"/>
            <wp:docPr id="1" name="Picture 1"/>
            <wp:cNvGraphicFramePr>
              <a:graphicFrameLocks noChangeAspect="1"/>
            </wp:cNvGraphicFramePr>
            <a:graphic>
              <a:graphicData uri="http://schemas.openxmlformats.org/drawingml/2006/picture">
                <pic:pic>
                  <pic:nvPicPr>
                    <pic:cNvPr id="0" name="scoreboard_4.png"/>
                    <pic:cNvPicPr/>
                  </pic:nvPicPr>
                  <pic:blipFill>
                    <a:blip r:embed="rId9"/>
                    <a:stretch>
                      <a:fillRect/>
                    </a:stretch>
                  </pic:blipFill>
                  <pic:spPr>
                    <a:xfrm>
                      <a:off x="0" y="0"/>
                      <a:ext cx="6492240" cy="3289402"/>
                    </a:xfrm>
                    <a:prstGeom prst="rect"/>
                  </pic:spPr>
                </pic:pic>
              </a:graphicData>
            </a:graphic>
          </wp:inline>
        </w:drawing>
      </w:r>
    </w:p>
    <w:p>
      <w:pPr>
        <w:jc w:val="center"/>
      </w:pPr>
      <w:r>
        <w:rPr>
          <w:i/>
          <w:color w:val="66717D"/>
          <w:sz w:val="15"/>
        </w:rPr>
        <w:t>Broadcast-style match data panel (simulated from the report dataset).</w:t>
      </w:r>
    </w:p>
    <w:p>
      <w:r>
        <w:br w:type="page"/>
      </w:r>
    </w:p>
    <w:p>
      <w:pPr>
        <w:spacing w:before="100" w:after="60"/>
      </w:pPr>
      <w:r>
        <w:rPr>
          <w:rFonts w:ascii="Aptos Display" w:hAnsi="Aptos Display"/>
          <w:b/>
          <w:color w:val="24113B"/>
          <w:sz w:val="30"/>
        </w:rPr>
        <w:t>DATA ROOM: WHAT THE NUMBERS SHOW</w:t>
      </w:r>
    </w:p>
    <w:p>
      <w:r>
        <w:drawing>
          <wp:inline xmlns:a="http://schemas.openxmlformats.org/drawingml/2006/main" xmlns:pic="http://schemas.openxmlformats.org/drawingml/2006/picture">
            <wp:extent cx="6492240" cy="2921508"/>
            <wp:docPr id="2" name="Picture 2"/>
            <wp:cNvGraphicFramePr>
              <a:graphicFrameLocks noChangeAspect="1"/>
            </wp:cNvGraphicFramePr>
            <a:graphic>
              <a:graphicData uri="http://schemas.openxmlformats.org/drawingml/2006/picture">
                <pic:pic>
                  <pic:nvPicPr>
                    <pic:cNvPr id="0" name="tactical_4.png"/>
                    <pic:cNvPicPr/>
                  </pic:nvPicPr>
                  <pic:blipFill>
                    <a:blip r:embed="rId10"/>
                    <a:stretch>
                      <a:fillRect/>
                    </a:stretch>
                  </pic:blipFill>
                  <pic:spPr>
                    <a:xfrm>
                      <a:off x="0" y="0"/>
                      <a:ext cx="6492240" cy="2921508"/>
                    </a:xfrm>
                    <a:prstGeom prst="rect"/>
                  </pic:spPr>
                </pic:pic>
              </a:graphicData>
            </a:graphic>
          </wp:inline>
        </w:drawing>
      </w:r>
    </w:p>
    <w:p>
      <w:pPr>
        <w:spacing w:before="100" w:after="60"/>
      </w:pPr>
      <w:r>
        <w:rPr>
          <w:rFonts w:ascii="Aptos Display" w:hAnsi="Aptos Display"/>
          <w:b/>
          <w:color w:val="24113B"/>
          <w:sz w:val="26"/>
        </w:rPr>
        <w:t>MATCH EVIDENCE BOARD</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24113B"/>
            <w:vAlign w:val="center"/>
          </w:tcPr>
          <w:p>
            <w:pPr>
              <w:spacing w:after="0"/>
              <w:jc w:val="left"/>
            </w:pPr>
            <w:r/>
            <w:r>
              <w:rPr>
                <w:rFonts w:ascii="Aptos" w:hAnsi="Aptos"/>
                <w:b/>
                <w:color w:val="FFFFFF"/>
                <w:sz w:val="18"/>
              </w:rPr>
              <w:t>Evidence</w:t>
            </w:r>
          </w:p>
        </w:tc>
        <w:tc>
          <w:tcPr>
            <w:tcW w:type="dxa" w:w="3552"/>
            <w:shd w:fill="24113B"/>
            <w:vAlign w:val="center"/>
          </w:tcPr>
          <w:p>
            <w:pPr>
              <w:spacing w:after="0"/>
              <w:jc w:val="left"/>
            </w:pPr>
            <w:r/>
            <w:r>
              <w:rPr>
                <w:rFonts w:ascii="Aptos" w:hAnsi="Aptos"/>
                <w:b/>
                <w:color w:val="FFFFFF"/>
                <w:sz w:val="18"/>
              </w:rPr>
              <w:t>Recorded figure</w:t>
            </w:r>
          </w:p>
        </w:tc>
        <w:tc>
          <w:tcPr>
            <w:tcW w:type="dxa" w:w="3552"/>
            <w:shd w:fill="24113B"/>
            <w:vAlign w:val="center"/>
          </w:tcPr>
          <w:p>
            <w:pPr>
              <w:spacing w:after="0"/>
              <w:jc w:val="left"/>
            </w:pPr>
            <w:r/>
            <w:r>
              <w:rPr>
                <w:rFonts w:ascii="Aptos" w:hAnsi="Aptos"/>
                <w:b/>
                <w:color w:val="FFFFFF"/>
                <w:sz w:val="18"/>
              </w:rPr>
              <w:t>What it may suggest</w:t>
            </w:r>
          </w:p>
        </w:tc>
      </w:tr>
      <w:tr>
        <w:tc>
          <w:tcPr>
            <w:tcW w:type="dxa" w:w="3552"/>
            <w:vAlign w:val="center"/>
          </w:tcPr>
          <w:p>
            <w:pPr>
              <w:spacing w:after="0"/>
              <w:jc w:val="left"/>
            </w:pPr>
            <w:r/>
            <w:r>
              <w:rPr>
                <w:rFonts w:ascii="Aptos" w:hAnsi="Aptos"/>
                <w:b/>
                <w:color w:val="111111"/>
                <w:sz w:val="17"/>
              </w:rPr>
              <w:t>Shots</w:t>
            </w:r>
          </w:p>
        </w:tc>
        <w:tc>
          <w:tcPr>
            <w:tcW w:type="dxa" w:w="3552"/>
            <w:vAlign w:val="center"/>
          </w:tcPr>
          <w:p>
            <w:pPr>
              <w:spacing w:after="0"/>
              <w:jc w:val="left"/>
            </w:pPr>
            <w:r/>
            <w:r>
              <w:rPr>
                <w:rFonts w:ascii="Aptos" w:hAnsi="Aptos"/>
                <w:b/>
                <w:color w:val="FF7A2D"/>
                <w:sz w:val="17"/>
              </w:rPr>
              <w:t>Nova Union 58-49</w:t>
            </w:r>
          </w:p>
        </w:tc>
        <w:tc>
          <w:tcPr>
            <w:tcW w:type="dxa" w:w="3552"/>
            <w:vAlign w:val="center"/>
          </w:tcPr>
          <w:p>
            <w:pPr>
              <w:spacing w:after="0"/>
              <w:jc w:val="left"/>
            </w:pPr>
            <w:r/>
            <w:r>
              <w:rPr>
                <w:rFonts w:ascii="Aptos" w:hAnsi="Aptos"/>
                <w:b w:val="0"/>
                <w:color w:val="40464D"/>
                <w:sz w:val="16"/>
              </w:rPr>
              <w:t>Nova Union generated more attempts.</w:t>
            </w:r>
          </w:p>
        </w:tc>
      </w:tr>
      <w:tr>
        <w:tc>
          <w:tcPr>
            <w:tcW w:type="dxa" w:w="3552"/>
            <w:vAlign w:val="center"/>
          </w:tcPr>
          <w:p>
            <w:pPr>
              <w:spacing w:after="0"/>
              <w:jc w:val="left"/>
            </w:pPr>
            <w:r/>
            <w:r>
              <w:rPr>
                <w:rFonts w:ascii="Aptos" w:hAnsi="Aptos"/>
                <w:b/>
                <w:color w:val="111111"/>
                <w:sz w:val="17"/>
              </w:rPr>
              <w:t>Save total, Arco</w:t>
            </w:r>
          </w:p>
        </w:tc>
        <w:tc>
          <w:tcPr>
            <w:tcW w:type="dxa" w:w="3552"/>
            <w:vAlign w:val="center"/>
          </w:tcPr>
          <w:p>
            <w:pPr>
              <w:spacing w:after="0"/>
              <w:jc w:val="left"/>
            </w:pPr>
            <w:r/>
            <w:r>
              <w:rPr>
                <w:rFonts w:ascii="Aptos" w:hAnsi="Aptos"/>
                <w:b/>
                <w:color w:val="FF7A2D"/>
                <w:sz w:val="17"/>
              </w:rPr>
              <w:t>31</w:t>
            </w:r>
          </w:p>
        </w:tc>
        <w:tc>
          <w:tcPr>
            <w:tcW w:type="dxa" w:w="3552"/>
            <w:vAlign w:val="center"/>
          </w:tcPr>
          <w:p>
            <w:pPr>
              <w:spacing w:after="0"/>
              <w:jc w:val="left"/>
            </w:pPr>
            <w:r/>
            <w:r>
              <w:rPr>
                <w:rFonts w:ascii="Aptos" w:hAnsi="Aptos"/>
                <w:b w:val="0"/>
                <w:color w:val="40464D"/>
                <w:sz w:val="16"/>
              </w:rPr>
              <w:t>Velocity’s goalkeeper was heavily involved.</w:t>
            </w:r>
          </w:p>
        </w:tc>
      </w:tr>
      <w:tr>
        <w:tc>
          <w:tcPr>
            <w:tcW w:type="dxa" w:w="3552"/>
            <w:vAlign w:val="center"/>
          </w:tcPr>
          <w:p>
            <w:pPr>
              <w:spacing w:after="0"/>
              <w:jc w:val="left"/>
            </w:pPr>
            <w:r/>
            <w:r>
              <w:rPr>
                <w:rFonts w:ascii="Aptos" w:hAnsi="Aptos"/>
                <w:b/>
                <w:color w:val="111111"/>
                <w:sz w:val="17"/>
              </w:rPr>
              <w:t>Shot conversion</w:t>
            </w:r>
          </w:p>
        </w:tc>
        <w:tc>
          <w:tcPr>
            <w:tcW w:type="dxa" w:w="3552"/>
            <w:vAlign w:val="center"/>
          </w:tcPr>
          <w:p>
            <w:pPr>
              <w:spacing w:after="0"/>
              <w:jc w:val="left"/>
            </w:pPr>
            <w:r/>
            <w:r>
              <w:rPr>
                <w:rFonts w:ascii="Aptos" w:hAnsi="Aptos"/>
                <w:b/>
                <w:color w:val="FF7A2D"/>
                <w:sz w:val="17"/>
              </w:rPr>
              <w:t>Velocity 22%</w:t>
            </w:r>
          </w:p>
        </w:tc>
        <w:tc>
          <w:tcPr>
            <w:tcW w:type="dxa" w:w="3552"/>
            <w:vAlign w:val="center"/>
          </w:tcPr>
          <w:p>
            <w:pPr>
              <w:spacing w:after="0"/>
              <w:jc w:val="left"/>
            </w:pPr>
            <w:r/>
            <w:r>
              <w:rPr>
                <w:rFonts w:ascii="Aptos" w:hAnsi="Aptos"/>
                <w:b w:val="0"/>
                <w:color w:val="40464D"/>
                <w:sz w:val="16"/>
              </w:rPr>
              <w:t>Velocity turned a higher share of shots into goals.</w:t>
            </w:r>
          </w:p>
        </w:tc>
      </w:tr>
      <w:tr>
        <w:tc>
          <w:tcPr>
            <w:tcW w:type="dxa" w:w="3552"/>
            <w:vAlign w:val="center"/>
          </w:tcPr>
          <w:p>
            <w:pPr>
              <w:spacing w:after="0"/>
              <w:jc w:val="left"/>
            </w:pPr>
            <w:r/>
            <w:r>
              <w:rPr>
                <w:rFonts w:ascii="Aptos" w:hAnsi="Aptos"/>
                <w:b/>
                <w:color w:val="111111"/>
                <w:sz w:val="17"/>
              </w:rPr>
              <w:t>Aerial contests</w:t>
            </w:r>
          </w:p>
        </w:tc>
        <w:tc>
          <w:tcPr>
            <w:tcW w:type="dxa" w:w="3552"/>
            <w:vAlign w:val="center"/>
          </w:tcPr>
          <w:p>
            <w:pPr>
              <w:spacing w:after="0"/>
              <w:jc w:val="left"/>
            </w:pPr>
            <w:r/>
            <w:r>
              <w:rPr>
                <w:rFonts w:ascii="Aptos" w:hAnsi="Aptos"/>
                <w:b/>
                <w:color w:val="FF7A2D"/>
                <w:sz w:val="17"/>
              </w:rPr>
              <w:t>61% Velocity</w:t>
            </w:r>
          </w:p>
        </w:tc>
        <w:tc>
          <w:tcPr>
            <w:tcW w:type="dxa" w:w="3552"/>
            <w:vAlign w:val="center"/>
          </w:tcPr>
          <w:p>
            <w:pPr>
              <w:spacing w:after="0"/>
              <w:jc w:val="left"/>
            </w:pPr>
            <w:r/>
            <w:r>
              <w:rPr>
                <w:rFonts w:ascii="Aptos" w:hAnsi="Aptos"/>
                <w:b w:val="0"/>
                <w:color w:val="40464D"/>
                <w:sz w:val="16"/>
              </w:rPr>
              <w:t>They controlled more midfield aerial challenges.</w:t>
            </w:r>
          </w:p>
        </w:tc>
      </w:tr>
    </w:tbl>
    <w:p>
      <w:pPr>
        <w:spacing w:before="100" w:after="60"/>
      </w:pPr>
      <w:r>
        <w:rPr>
          <w:rFonts w:ascii="Aptos Display" w:hAnsi="Aptos Display"/>
          <w:b/>
          <w:color w:val="24113B"/>
          <w:sz w:val="28"/>
        </w:rPr>
        <w:t>STUDENT INVESTIGATION: FACT OR INFERENCE?</w:t>
      </w:r>
    </w:p>
    <w:p>
      <w:pPr>
        <w:spacing w:after="100"/>
      </w:pPr>
      <w:r>
        <w:t>Read the report and inspect the data panels. A FACT is directly stated or shown in the evidence. An INFERENCE is a reasonable conclusion drawn from that evidence. Do not treat a confident-sounding sentence as fact unless the report proves it.</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0B1220"/>
            <w:vAlign w:val="center"/>
          </w:tcPr>
          <w:p>
            <w:pPr>
              <w:spacing w:after="0"/>
              <w:jc w:val="left"/>
            </w:pPr>
            <w:r/>
            <w:r>
              <w:rPr>
                <w:rFonts w:ascii="Aptos" w:hAnsi="Aptos"/>
                <w:b/>
                <w:color w:val="FFFFFF"/>
                <w:sz w:val="16"/>
              </w:rPr>
              <w:t>Statement</w:t>
            </w:r>
          </w:p>
        </w:tc>
        <w:tc>
          <w:tcPr>
            <w:tcW w:type="dxa" w:w="2664"/>
            <w:shd w:fill="0B1220"/>
            <w:vAlign w:val="center"/>
          </w:tcPr>
          <w:p>
            <w:pPr>
              <w:spacing w:after="0"/>
              <w:jc w:val="left"/>
            </w:pPr>
            <w:r/>
            <w:r>
              <w:rPr>
                <w:rFonts w:ascii="Aptos" w:hAnsi="Aptos"/>
                <w:b/>
                <w:color w:val="FFFFFF"/>
                <w:sz w:val="16"/>
              </w:rPr>
              <w:t>Fact / inference?</w:t>
            </w:r>
          </w:p>
        </w:tc>
        <w:tc>
          <w:tcPr>
            <w:tcW w:type="dxa" w:w="2664"/>
            <w:shd w:fill="0B1220"/>
            <w:vAlign w:val="center"/>
          </w:tcPr>
          <w:p>
            <w:pPr>
              <w:spacing w:after="0"/>
              <w:jc w:val="left"/>
            </w:pPr>
            <w:r/>
            <w:r>
              <w:rPr>
                <w:rFonts w:ascii="Aptos" w:hAnsi="Aptos"/>
                <w:b/>
                <w:color w:val="FFFFFF"/>
                <w:sz w:val="16"/>
              </w:rPr>
              <w:t>Evidence you used</w:t>
            </w:r>
          </w:p>
        </w:tc>
        <w:tc>
          <w:tcPr>
            <w:tcW w:type="dxa" w:w="2664"/>
            <w:shd w:fill="0B1220"/>
            <w:vAlign w:val="center"/>
          </w:tcPr>
          <w:p>
            <w:pPr>
              <w:spacing w:after="0"/>
              <w:jc w:val="left"/>
            </w:pPr>
            <w:r/>
            <w:r>
              <w:rPr>
                <w:rFonts w:ascii="Aptos" w:hAnsi="Aptos"/>
                <w:b/>
                <w:color w:val="FFFFFF"/>
                <w:sz w:val="16"/>
              </w:rPr>
              <w:t>How certain are you?</w:t>
            </w:r>
          </w:p>
        </w:tc>
      </w:tr>
      <w:tr>
        <w:tc>
          <w:tcPr>
            <w:tcW w:type="dxa" w:w="2664"/>
            <w:vAlign w:val="center"/>
          </w:tcPr>
          <w:p>
            <w:pPr>
              <w:spacing w:after="0"/>
              <w:jc w:val="left"/>
            </w:pPr>
            <w:r/>
            <w:r>
              <w:rPr>
                <w:rFonts w:ascii="Aptos" w:hAnsi="Aptos"/>
                <w:b w:val="0"/>
                <w:color w:val="111111"/>
                <w:sz w:val="16"/>
              </w:rPr>
              <w:t>Velocity won the championship.</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Nova Union were the more attacking team.</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Arco made 31 saves.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Velocity were more clinical in front of goal.</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Nova Union chose poor shots.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Game 5 ended 2-0.</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Velocity’s counter-attacks were effective.</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Nova Union deserved to win because they had more shots.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bl>
    <w:p>
      <w:pPr>
        <w:spacing w:before="120" w:after="0"/>
      </w:pPr>
      <w:r>
        <w:rPr>
          <w:b/>
          <w:color w:val="24113B"/>
          <w:sz w:val="18"/>
        </w:rPr>
        <w:t>EXTENSION: Write a 120-150 word analyst paragraph explaining which team appears stronger overall. Use at least three facts, label two inferences, and include one alternative interpretation of the data.</w:t>
      </w:r>
    </w:p>
    <w:p>
      <w:pPr>
        <w:jc w:val="center"/>
      </w:pPr>
      <w:r>
        <w:rPr>
          <w:color w:val="777777"/>
          <w:sz w:val="14"/>
        </w:rPr>
        <w:t>Classroom simulation: teams, tournaments and game data in this report are fictional but designed to mirror professional esports reporting conventions.</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